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A853E" w14:textId="5CB1FB2B" w:rsidR="00B17946" w:rsidRDefault="005D1A36" w:rsidP="00B17946">
      <w:pPr>
        <w:jc w:val="both"/>
        <w:rPr>
          <w:rFonts w:ascii="Times New Roman" w:hAnsi="Times New Roman" w:cs="Times New Roman"/>
          <w:color w:val="0033FF"/>
        </w:rPr>
      </w:pPr>
      <w:r w:rsidRPr="005D1A36">
        <w:rPr>
          <w:rFonts w:ascii="Times New Roman" w:hAnsi="Times New Roman" w:cs="Times New Roman"/>
          <w:noProof/>
          <w:color w:val="0033FF"/>
          <w:lang w:val="en-GB" w:eastAsia="en-GB"/>
        </w:rPr>
        <w:drawing>
          <wp:anchor distT="0" distB="0" distL="114300" distR="114300" simplePos="0" relativeHeight="251658240" behindDoc="0" locked="0" layoutInCell="1" allowOverlap="1" wp14:anchorId="4B9559AC" wp14:editId="36C2185A">
            <wp:simplePos x="899160" y="914400"/>
            <wp:positionH relativeFrom="margin">
              <wp:align>left</wp:align>
            </wp:positionH>
            <wp:positionV relativeFrom="margin">
              <wp:align>top</wp:align>
            </wp:positionV>
            <wp:extent cx="1624330" cy="1410335"/>
            <wp:effectExtent l="0" t="0" r="0" b="0"/>
            <wp:wrapSquare wrapText="bothSides"/>
            <wp:docPr id="8"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7"/>
                    <pic:cNvPicPr>
                      <a:picLocks noChangeAspect="1"/>
                    </pic:cNvPicPr>
                  </pic:nvPicPr>
                  <pic:blipFill rotWithShape="1">
                    <a:blip r:embed="rId6" cstate="print">
                      <a:extLst>
                        <a:ext uri="{28A0092B-C50C-407E-A947-70E740481C1C}">
                          <a14:useLocalDpi xmlns:a14="http://schemas.microsoft.com/office/drawing/2010/main" val="0"/>
                        </a:ext>
                      </a:extLst>
                    </a:blip>
                    <a:srcRect t="22293" r="22961"/>
                    <a:stretch/>
                  </pic:blipFill>
                  <pic:spPr>
                    <a:xfrm>
                      <a:off x="0" y="0"/>
                      <a:ext cx="1624330" cy="1410335"/>
                    </a:xfrm>
                    <a:prstGeom prst="rect">
                      <a:avLst/>
                    </a:prstGeom>
                  </pic:spPr>
                </pic:pic>
              </a:graphicData>
            </a:graphic>
          </wp:anchor>
        </w:drawing>
      </w:r>
      <w:r w:rsidR="00B17946">
        <w:rPr>
          <w:rFonts w:ascii="Times New Roman" w:hAnsi="Times New Roman" w:cs="Times New Roman"/>
          <w:noProof/>
          <w:color w:val="0033FF"/>
          <w:lang w:val="en-GB" w:eastAsia="en-GB"/>
        </w:rPr>
        <w:drawing>
          <wp:inline distT="0" distB="0" distL="0" distR="0" wp14:anchorId="666B1A4D" wp14:editId="2053E75C">
            <wp:extent cx="1942193" cy="73360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4413" cy="734446"/>
                    </a:xfrm>
                    <a:prstGeom prst="rect">
                      <a:avLst/>
                    </a:prstGeom>
                    <a:noFill/>
                    <a:ln>
                      <a:noFill/>
                    </a:ln>
                  </pic:spPr>
                </pic:pic>
              </a:graphicData>
            </a:graphic>
          </wp:inline>
        </w:drawing>
      </w:r>
    </w:p>
    <w:p w14:paraId="01D65034" w14:textId="4E31F132" w:rsidR="00B17946" w:rsidRDefault="00B17946" w:rsidP="00D656A9">
      <w:pPr>
        <w:jc w:val="both"/>
        <w:rPr>
          <w:rFonts w:ascii="Times New Roman" w:hAnsi="Times New Roman" w:cs="Times New Roman"/>
          <w:color w:val="0033FF"/>
        </w:rPr>
      </w:pPr>
    </w:p>
    <w:p w14:paraId="5C4D6C5A" w14:textId="23831389" w:rsidR="005F6432" w:rsidRPr="005A368A" w:rsidRDefault="005D61B1" w:rsidP="00D656A9">
      <w:pPr>
        <w:jc w:val="both"/>
        <w:rPr>
          <w:rFonts w:asciiTheme="majorHAnsi" w:hAnsiTheme="majorHAnsi" w:cs="Times New Roman"/>
          <w:i/>
          <w:sz w:val="20"/>
          <w:szCs w:val="20"/>
        </w:rPr>
      </w:pPr>
      <w:r w:rsidRPr="005A368A">
        <w:rPr>
          <w:rFonts w:asciiTheme="majorHAnsi" w:hAnsiTheme="majorHAnsi" w:cs="Times New Roman"/>
          <w:i/>
          <w:sz w:val="20"/>
          <w:szCs w:val="20"/>
        </w:rPr>
        <w:t xml:space="preserve">8 October </w:t>
      </w:r>
      <w:r w:rsidR="005F6432" w:rsidRPr="005A368A">
        <w:rPr>
          <w:rFonts w:asciiTheme="majorHAnsi" w:hAnsiTheme="majorHAnsi" w:cs="Times New Roman"/>
          <w:i/>
          <w:sz w:val="20"/>
          <w:szCs w:val="20"/>
        </w:rPr>
        <w:t>2019, European Parliament, Brussels</w:t>
      </w:r>
    </w:p>
    <w:p w14:paraId="143589D6" w14:textId="77777777" w:rsidR="005F6432" w:rsidRPr="005A368A" w:rsidRDefault="005F6432" w:rsidP="00D656A9">
      <w:pPr>
        <w:jc w:val="both"/>
        <w:rPr>
          <w:rFonts w:asciiTheme="majorHAnsi" w:hAnsiTheme="majorHAnsi" w:cs="Times New Roman"/>
          <w:b/>
          <w:sz w:val="20"/>
          <w:szCs w:val="20"/>
        </w:rPr>
      </w:pPr>
    </w:p>
    <w:p w14:paraId="2520E4F9" w14:textId="1AF6BFB4" w:rsidR="00EE3035" w:rsidRPr="005A368A" w:rsidRDefault="00B17946" w:rsidP="00331F12">
      <w:pPr>
        <w:spacing w:before="120"/>
        <w:jc w:val="both"/>
        <w:rPr>
          <w:rFonts w:asciiTheme="majorHAnsi" w:hAnsiTheme="majorHAnsi" w:cs="Times New Roman"/>
          <w:sz w:val="20"/>
          <w:szCs w:val="20"/>
        </w:rPr>
      </w:pPr>
      <w:r w:rsidRPr="005A368A">
        <w:rPr>
          <w:rFonts w:asciiTheme="majorHAnsi" w:hAnsiTheme="majorHAnsi" w:cs="Times New Roman"/>
          <w:b/>
          <w:sz w:val="20"/>
          <w:szCs w:val="20"/>
        </w:rPr>
        <w:t>Tackling tobacco-rela</w:t>
      </w:r>
      <w:r w:rsidR="005F6432" w:rsidRPr="005A368A">
        <w:rPr>
          <w:rFonts w:asciiTheme="majorHAnsi" w:hAnsiTheme="majorHAnsi" w:cs="Times New Roman"/>
          <w:b/>
          <w:sz w:val="20"/>
          <w:szCs w:val="20"/>
        </w:rPr>
        <w:t xml:space="preserve">ted chronic diseases in Europe: </w:t>
      </w:r>
      <w:r w:rsidR="005F6432" w:rsidRPr="005A368A">
        <w:rPr>
          <w:rFonts w:asciiTheme="majorHAnsi" w:hAnsiTheme="majorHAnsi" w:cs="Times New Roman"/>
          <w:sz w:val="20"/>
          <w:szCs w:val="20"/>
        </w:rPr>
        <w:t>N</w:t>
      </w:r>
      <w:r w:rsidR="005B6CBE" w:rsidRPr="005A368A">
        <w:rPr>
          <w:rFonts w:asciiTheme="majorHAnsi" w:hAnsiTheme="majorHAnsi" w:cs="Times New Roman"/>
          <w:sz w:val="20"/>
          <w:szCs w:val="20"/>
        </w:rPr>
        <w:t xml:space="preserve">ovel data from </w:t>
      </w:r>
      <w:r w:rsidR="00EB3CF5" w:rsidRPr="005A368A">
        <w:rPr>
          <w:rFonts w:asciiTheme="majorHAnsi" w:hAnsiTheme="majorHAnsi" w:cs="Times New Roman"/>
          <w:sz w:val="20"/>
          <w:szCs w:val="20"/>
        </w:rPr>
        <w:t xml:space="preserve">the </w:t>
      </w:r>
      <w:r w:rsidR="005B6CBE" w:rsidRPr="005A368A">
        <w:rPr>
          <w:rFonts w:asciiTheme="majorHAnsi" w:hAnsiTheme="majorHAnsi" w:cs="Times New Roman"/>
          <w:sz w:val="20"/>
          <w:szCs w:val="20"/>
        </w:rPr>
        <w:t xml:space="preserve">Horizon 2020 </w:t>
      </w:r>
      <w:hyperlink r:id="rId8" w:history="1">
        <w:r w:rsidR="005B6CBE" w:rsidRPr="005A368A">
          <w:rPr>
            <w:rStyle w:val="Hyperlink"/>
            <w:rFonts w:asciiTheme="majorHAnsi" w:hAnsiTheme="majorHAnsi" w:cs="Times New Roman"/>
            <w:color w:val="auto"/>
            <w:sz w:val="20"/>
            <w:szCs w:val="20"/>
          </w:rPr>
          <w:t>TackSHS project</w:t>
        </w:r>
      </w:hyperlink>
      <w:r w:rsidR="00E11AB3" w:rsidRPr="005A368A">
        <w:rPr>
          <w:rFonts w:asciiTheme="majorHAnsi" w:hAnsiTheme="majorHAnsi" w:cs="Times New Roman"/>
          <w:sz w:val="20"/>
          <w:szCs w:val="20"/>
        </w:rPr>
        <w:t xml:space="preserve"> reveals the </w:t>
      </w:r>
      <w:r w:rsidR="00140FF6" w:rsidRPr="005A368A">
        <w:rPr>
          <w:rFonts w:asciiTheme="majorHAnsi" w:hAnsiTheme="majorHAnsi" w:cs="Times New Roman"/>
          <w:sz w:val="20"/>
          <w:szCs w:val="20"/>
        </w:rPr>
        <w:t>results</w:t>
      </w:r>
      <w:r w:rsidR="00EB3CF5" w:rsidRPr="005A368A">
        <w:rPr>
          <w:rFonts w:asciiTheme="majorHAnsi" w:hAnsiTheme="majorHAnsi" w:cs="Times New Roman"/>
          <w:sz w:val="20"/>
          <w:szCs w:val="20"/>
        </w:rPr>
        <w:t xml:space="preserve"> of </w:t>
      </w:r>
      <w:r w:rsidR="00F14F42" w:rsidRPr="005A368A">
        <w:rPr>
          <w:rFonts w:asciiTheme="majorHAnsi" w:hAnsiTheme="majorHAnsi" w:cs="Times New Roman"/>
          <w:sz w:val="20"/>
          <w:szCs w:val="20"/>
        </w:rPr>
        <w:t xml:space="preserve">exposure to secondhand smoke (SHS) from cigarettes and second-hand aerosols (SHA) from electronic cigarettes </w:t>
      </w:r>
      <w:r w:rsidR="00F14F42" w:rsidRPr="005A368A">
        <w:rPr>
          <w:rFonts w:asciiTheme="majorHAnsi" w:hAnsiTheme="majorHAnsi" w:cs="Times New Roman"/>
          <w:b/>
          <w:sz w:val="20"/>
          <w:szCs w:val="20"/>
        </w:rPr>
        <w:t>on</w:t>
      </w:r>
      <w:r w:rsidR="005F6432" w:rsidRPr="005A368A">
        <w:rPr>
          <w:rFonts w:asciiTheme="majorHAnsi" w:hAnsiTheme="majorHAnsi" w:cs="Times New Roman"/>
          <w:b/>
          <w:sz w:val="20"/>
          <w:szCs w:val="20"/>
        </w:rPr>
        <w:t xml:space="preserve"> </w:t>
      </w:r>
      <w:r w:rsidR="00F14F42" w:rsidRPr="005A368A">
        <w:rPr>
          <w:rFonts w:asciiTheme="majorHAnsi" w:hAnsiTheme="majorHAnsi" w:cs="Times New Roman"/>
          <w:b/>
          <w:sz w:val="20"/>
          <w:szCs w:val="20"/>
        </w:rPr>
        <w:t>the respiratory he</w:t>
      </w:r>
      <w:r w:rsidR="005F6432" w:rsidRPr="005A368A">
        <w:rPr>
          <w:rFonts w:asciiTheme="majorHAnsi" w:hAnsiTheme="majorHAnsi" w:cs="Times New Roman"/>
          <w:b/>
          <w:sz w:val="20"/>
          <w:szCs w:val="20"/>
        </w:rPr>
        <w:t>alth of European population,</w:t>
      </w:r>
      <w:r w:rsidR="00140FF6" w:rsidRPr="005A368A">
        <w:rPr>
          <w:rFonts w:asciiTheme="majorHAnsi" w:hAnsiTheme="majorHAnsi" w:cs="Times New Roman"/>
          <w:b/>
          <w:sz w:val="20"/>
          <w:szCs w:val="20"/>
        </w:rPr>
        <w:t xml:space="preserve"> </w:t>
      </w:r>
      <w:r w:rsidR="005F6432" w:rsidRPr="005A368A">
        <w:rPr>
          <w:rFonts w:asciiTheme="majorHAnsi" w:hAnsiTheme="majorHAnsi" w:cs="Times New Roman"/>
          <w:b/>
          <w:sz w:val="20"/>
          <w:szCs w:val="20"/>
        </w:rPr>
        <w:t>the burden of associated mortality and morbidity, and economic consequences for national and European welfare.</w:t>
      </w:r>
    </w:p>
    <w:p w14:paraId="0649EE87" w14:textId="4BAB5F9F" w:rsidR="005D61B1" w:rsidRPr="005A368A" w:rsidRDefault="005D61B1" w:rsidP="00331F12">
      <w:pPr>
        <w:spacing w:before="120"/>
        <w:jc w:val="both"/>
        <w:rPr>
          <w:rFonts w:asciiTheme="majorHAnsi" w:hAnsiTheme="majorHAnsi" w:cs="Times New Roman"/>
          <w:sz w:val="20"/>
          <w:szCs w:val="20"/>
        </w:rPr>
      </w:pPr>
      <w:r w:rsidRPr="005A368A">
        <w:rPr>
          <w:rFonts w:asciiTheme="majorHAnsi" w:hAnsiTheme="majorHAnsi" w:cs="Times New Roman"/>
          <w:sz w:val="20"/>
          <w:szCs w:val="20"/>
        </w:rPr>
        <w:t xml:space="preserve">These </w:t>
      </w:r>
      <w:r w:rsidR="00140FF6" w:rsidRPr="005A368A">
        <w:rPr>
          <w:rFonts w:asciiTheme="majorHAnsi" w:hAnsiTheme="majorHAnsi" w:cs="Times New Roman"/>
          <w:sz w:val="20"/>
          <w:szCs w:val="20"/>
        </w:rPr>
        <w:t xml:space="preserve">important </w:t>
      </w:r>
      <w:r w:rsidRPr="005A368A">
        <w:rPr>
          <w:rFonts w:asciiTheme="majorHAnsi" w:hAnsiTheme="majorHAnsi" w:cs="Times New Roman"/>
          <w:sz w:val="20"/>
          <w:szCs w:val="20"/>
        </w:rPr>
        <w:t xml:space="preserve">findings were presented for discussion to a wide audience of </w:t>
      </w:r>
      <w:r w:rsidR="00E43021" w:rsidRPr="005A368A">
        <w:rPr>
          <w:rFonts w:asciiTheme="majorHAnsi" w:hAnsiTheme="majorHAnsi" w:cs="Times New Roman"/>
          <w:sz w:val="20"/>
          <w:szCs w:val="20"/>
        </w:rPr>
        <w:t xml:space="preserve">about 100 </w:t>
      </w:r>
      <w:r w:rsidRPr="005A368A">
        <w:rPr>
          <w:rFonts w:asciiTheme="majorHAnsi" w:hAnsiTheme="majorHAnsi" w:cs="Times New Roman"/>
          <w:sz w:val="20"/>
          <w:szCs w:val="20"/>
        </w:rPr>
        <w:t>E</w:t>
      </w:r>
      <w:r w:rsidR="00E43021" w:rsidRPr="005A368A">
        <w:rPr>
          <w:rFonts w:asciiTheme="majorHAnsi" w:hAnsiTheme="majorHAnsi" w:cs="Times New Roman"/>
          <w:sz w:val="20"/>
          <w:szCs w:val="20"/>
        </w:rPr>
        <w:t xml:space="preserve">uropean stakeholders during the </w:t>
      </w:r>
      <w:r w:rsidRPr="005A368A">
        <w:rPr>
          <w:rFonts w:asciiTheme="majorHAnsi" w:hAnsiTheme="majorHAnsi" w:cs="Times New Roman"/>
          <w:sz w:val="20"/>
          <w:szCs w:val="20"/>
        </w:rPr>
        <w:t xml:space="preserve">Project </w:t>
      </w:r>
      <w:r w:rsidR="00E43021" w:rsidRPr="005A368A">
        <w:rPr>
          <w:rFonts w:asciiTheme="majorHAnsi" w:hAnsiTheme="majorHAnsi" w:cs="Times New Roman"/>
          <w:sz w:val="20"/>
          <w:szCs w:val="20"/>
        </w:rPr>
        <w:t xml:space="preserve">Final </w:t>
      </w:r>
      <w:r w:rsidRPr="005A368A">
        <w:rPr>
          <w:rFonts w:asciiTheme="majorHAnsi" w:hAnsiTheme="majorHAnsi" w:cs="Times New Roman"/>
          <w:sz w:val="20"/>
          <w:szCs w:val="20"/>
        </w:rPr>
        <w:t xml:space="preserve">Conference at the European Parliament </w:t>
      </w:r>
      <w:r w:rsidR="00140FF6" w:rsidRPr="005A368A">
        <w:rPr>
          <w:rFonts w:asciiTheme="majorHAnsi" w:hAnsiTheme="majorHAnsi" w:cs="Times New Roman"/>
          <w:sz w:val="20"/>
          <w:szCs w:val="20"/>
        </w:rPr>
        <w:t>on 8 October,</w:t>
      </w:r>
      <w:r w:rsidR="00E43021" w:rsidRPr="005A368A">
        <w:rPr>
          <w:rFonts w:asciiTheme="majorHAnsi" w:hAnsiTheme="majorHAnsi" w:cs="Times New Roman"/>
          <w:sz w:val="20"/>
          <w:szCs w:val="20"/>
        </w:rPr>
        <w:t xml:space="preserve"> </w:t>
      </w:r>
      <w:r w:rsidR="00480297" w:rsidRPr="005A368A">
        <w:rPr>
          <w:rFonts w:asciiTheme="majorHAnsi" w:hAnsiTheme="majorHAnsi" w:cs="Times New Roman"/>
          <w:sz w:val="20"/>
          <w:szCs w:val="20"/>
        </w:rPr>
        <w:t>kindly hosted by MEP</w:t>
      </w:r>
      <w:r w:rsidR="00140FF6" w:rsidRPr="005A368A">
        <w:rPr>
          <w:rFonts w:asciiTheme="majorHAnsi" w:hAnsiTheme="majorHAnsi" w:cs="Times New Roman"/>
          <w:sz w:val="20"/>
          <w:szCs w:val="20"/>
        </w:rPr>
        <w:t xml:space="preserve"> Cristian-Silviu B</w:t>
      </w:r>
      <w:r w:rsidR="005D1A36">
        <w:rPr>
          <w:rFonts w:asciiTheme="majorHAnsi" w:hAnsiTheme="majorHAnsi" w:cs="Times New Roman"/>
          <w:sz w:val="20"/>
          <w:szCs w:val="20"/>
        </w:rPr>
        <w:t xml:space="preserve">uşoi </w:t>
      </w:r>
      <w:r w:rsidR="00140FF6" w:rsidRPr="005A368A">
        <w:rPr>
          <w:rFonts w:asciiTheme="majorHAnsi" w:hAnsiTheme="majorHAnsi" w:cs="Times New Roman"/>
          <w:sz w:val="20"/>
          <w:szCs w:val="20"/>
        </w:rPr>
        <w:t xml:space="preserve">and </w:t>
      </w:r>
      <w:r w:rsidR="00480297" w:rsidRPr="005A368A">
        <w:rPr>
          <w:rFonts w:asciiTheme="majorHAnsi" w:hAnsiTheme="majorHAnsi" w:cs="Times New Roman"/>
          <w:sz w:val="20"/>
          <w:szCs w:val="20"/>
        </w:rPr>
        <w:t xml:space="preserve">MEP </w:t>
      </w:r>
      <w:r w:rsidR="00140FF6" w:rsidRPr="005A368A">
        <w:rPr>
          <w:rFonts w:asciiTheme="majorHAnsi" w:hAnsiTheme="majorHAnsi" w:cs="Times New Roman"/>
          <w:sz w:val="20"/>
          <w:szCs w:val="20"/>
        </w:rPr>
        <w:t xml:space="preserve">Rosa </w:t>
      </w:r>
      <w:proofErr w:type="spellStart"/>
      <w:r w:rsidR="005D1A36">
        <w:rPr>
          <w:rFonts w:asciiTheme="majorHAnsi" w:hAnsiTheme="majorHAnsi" w:cs="Times New Roman"/>
          <w:sz w:val="20"/>
          <w:szCs w:val="20"/>
        </w:rPr>
        <w:t>Esteràs</w:t>
      </w:r>
      <w:proofErr w:type="spellEnd"/>
      <w:r w:rsidR="005D1A36">
        <w:rPr>
          <w:rFonts w:asciiTheme="majorHAnsi" w:hAnsiTheme="majorHAnsi" w:cs="Times New Roman"/>
          <w:sz w:val="20"/>
          <w:szCs w:val="20"/>
        </w:rPr>
        <w:t xml:space="preserve"> </w:t>
      </w:r>
      <w:proofErr w:type="spellStart"/>
      <w:r w:rsidR="005D1A36">
        <w:rPr>
          <w:rFonts w:asciiTheme="majorHAnsi" w:hAnsiTheme="majorHAnsi" w:cs="Times New Roman"/>
          <w:sz w:val="20"/>
          <w:szCs w:val="20"/>
        </w:rPr>
        <w:t>Ferragut</w:t>
      </w:r>
      <w:proofErr w:type="spellEnd"/>
      <w:r w:rsidR="00480297" w:rsidRPr="005A368A">
        <w:rPr>
          <w:rFonts w:asciiTheme="majorHAnsi" w:hAnsiTheme="majorHAnsi" w:cs="Times New Roman"/>
          <w:sz w:val="20"/>
          <w:szCs w:val="20"/>
        </w:rPr>
        <w:t>.</w:t>
      </w:r>
    </w:p>
    <w:p w14:paraId="1ED9E0DA" w14:textId="60633DCC" w:rsidR="00B17946" w:rsidRPr="005A368A" w:rsidRDefault="00B17946" w:rsidP="00331F12">
      <w:pPr>
        <w:spacing w:before="120"/>
        <w:jc w:val="both"/>
        <w:rPr>
          <w:rFonts w:asciiTheme="majorHAnsi" w:hAnsiTheme="majorHAnsi"/>
          <w:sz w:val="20"/>
          <w:szCs w:val="20"/>
        </w:rPr>
      </w:pPr>
      <w:r w:rsidRPr="005A368A">
        <w:rPr>
          <w:rFonts w:asciiTheme="majorHAnsi" w:hAnsiTheme="majorHAnsi"/>
          <w:sz w:val="20"/>
          <w:szCs w:val="20"/>
        </w:rPr>
        <w:t>Despit</w:t>
      </w:r>
      <w:r w:rsidR="00EE3035" w:rsidRPr="005A368A">
        <w:rPr>
          <w:rFonts w:asciiTheme="majorHAnsi" w:hAnsiTheme="majorHAnsi"/>
          <w:sz w:val="20"/>
          <w:szCs w:val="20"/>
        </w:rPr>
        <w:t xml:space="preserve">e </w:t>
      </w:r>
      <w:r w:rsidR="00F14F42" w:rsidRPr="005A368A">
        <w:rPr>
          <w:rFonts w:asciiTheme="majorHAnsi" w:hAnsiTheme="majorHAnsi"/>
          <w:sz w:val="20"/>
          <w:szCs w:val="20"/>
        </w:rPr>
        <w:t xml:space="preserve">the </w:t>
      </w:r>
      <w:r w:rsidR="00E32034" w:rsidRPr="005A368A">
        <w:rPr>
          <w:rFonts w:asciiTheme="majorHAnsi" w:hAnsiTheme="majorHAnsi"/>
          <w:sz w:val="20"/>
          <w:szCs w:val="20"/>
        </w:rPr>
        <w:t>tremendous effort to adopt</w:t>
      </w:r>
      <w:r w:rsidR="00F14F42" w:rsidRPr="005A368A">
        <w:rPr>
          <w:rFonts w:asciiTheme="majorHAnsi" w:hAnsiTheme="majorHAnsi"/>
          <w:sz w:val="20"/>
          <w:szCs w:val="20"/>
        </w:rPr>
        <w:t xml:space="preserve"> and </w:t>
      </w:r>
      <w:r w:rsidR="00EE3035" w:rsidRPr="005A368A">
        <w:rPr>
          <w:rFonts w:asciiTheme="majorHAnsi" w:hAnsiTheme="majorHAnsi"/>
          <w:sz w:val="20"/>
          <w:szCs w:val="20"/>
        </w:rPr>
        <w:t>imp</w:t>
      </w:r>
      <w:r w:rsidR="00E32034" w:rsidRPr="005A368A">
        <w:rPr>
          <w:rFonts w:asciiTheme="majorHAnsi" w:hAnsiTheme="majorHAnsi"/>
          <w:sz w:val="20"/>
          <w:szCs w:val="20"/>
        </w:rPr>
        <w:t>lement smoking</w:t>
      </w:r>
      <w:r w:rsidR="00523694" w:rsidRPr="005A368A">
        <w:rPr>
          <w:rFonts w:asciiTheme="majorHAnsi" w:hAnsiTheme="majorHAnsi"/>
          <w:sz w:val="20"/>
          <w:szCs w:val="20"/>
        </w:rPr>
        <w:t xml:space="preserve"> bans</w:t>
      </w:r>
      <w:r w:rsidR="00F14F42" w:rsidRPr="005A368A">
        <w:rPr>
          <w:rFonts w:asciiTheme="majorHAnsi" w:hAnsiTheme="majorHAnsi"/>
          <w:sz w:val="20"/>
          <w:szCs w:val="20"/>
        </w:rPr>
        <w:t xml:space="preserve"> around the</w:t>
      </w:r>
      <w:r w:rsidR="005D1A36">
        <w:rPr>
          <w:rFonts w:asciiTheme="majorHAnsi" w:hAnsiTheme="majorHAnsi"/>
          <w:sz w:val="20"/>
          <w:szCs w:val="20"/>
        </w:rPr>
        <w:t xml:space="preserve"> European Union (</w:t>
      </w:r>
      <w:r w:rsidR="00F14F42" w:rsidRPr="005A368A">
        <w:rPr>
          <w:rFonts w:asciiTheme="majorHAnsi" w:hAnsiTheme="majorHAnsi"/>
          <w:sz w:val="20"/>
          <w:szCs w:val="20"/>
        </w:rPr>
        <w:t>EU</w:t>
      </w:r>
      <w:r w:rsidR="005D1A36">
        <w:rPr>
          <w:rFonts w:asciiTheme="majorHAnsi" w:hAnsiTheme="majorHAnsi"/>
          <w:sz w:val="20"/>
          <w:szCs w:val="20"/>
        </w:rPr>
        <w:t>)</w:t>
      </w:r>
      <w:r w:rsidR="0057448E" w:rsidRPr="005A368A">
        <w:rPr>
          <w:rFonts w:asciiTheme="majorHAnsi" w:hAnsiTheme="majorHAnsi"/>
          <w:sz w:val="20"/>
          <w:szCs w:val="20"/>
        </w:rPr>
        <w:t xml:space="preserve"> in the last decade</w:t>
      </w:r>
      <w:r w:rsidR="00523694" w:rsidRPr="005A368A">
        <w:rPr>
          <w:rFonts w:asciiTheme="majorHAnsi" w:hAnsiTheme="majorHAnsi"/>
          <w:sz w:val="20"/>
          <w:szCs w:val="20"/>
        </w:rPr>
        <w:t>,</w:t>
      </w:r>
      <w:r w:rsidR="00EE3035" w:rsidRPr="005A368A">
        <w:rPr>
          <w:rFonts w:asciiTheme="majorHAnsi" w:hAnsiTheme="majorHAnsi"/>
          <w:sz w:val="20"/>
          <w:szCs w:val="20"/>
        </w:rPr>
        <w:t xml:space="preserve"> </w:t>
      </w:r>
      <w:r w:rsidR="00523694" w:rsidRPr="005A368A">
        <w:rPr>
          <w:rFonts w:asciiTheme="majorHAnsi" w:hAnsiTheme="majorHAnsi"/>
          <w:sz w:val="20"/>
          <w:szCs w:val="20"/>
        </w:rPr>
        <w:t>d</w:t>
      </w:r>
      <w:r w:rsidRPr="005A368A">
        <w:rPr>
          <w:rFonts w:asciiTheme="majorHAnsi" w:hAnsiTheme="majorHAnsi"/>
          <w:sz w:val="20"/>
          <w:szCs w:val="20"/>
        </w:rPr>
        <w:t xml:space="preserve">aily exposure to SHS among non-smokers is </w:t>
      </w:r>
      <w:r w:rsidR="00F14F42" w:rsidRPr="005A368A">
        <w:rPr>
          <w:rFonts w:asciiTheme="majorHAnsi" w:hAnsiTheme="majorHAnsi"/>
          <w:sz w:val="20"/>
          <w:szCs w:val="20"/>
        </w:rPr>
        <w:t xml:space="preserve">still </w:t>
      </w:r>
      <w:r w:rsidR="00E32034" w:rsidRPr="005A368A">
        <w:rPr>
          <w:rFonts w:asciiTheme="majorHAnsi" w:hAnsiTheme="majorHAnsi"/>
          <w:sz w:val="20"/>
          <w:szCs w:val="20"/>
        </w:rPr>
        <w:t xml:space="preserve">highly prevalent across European countries. On average it affects </w:t>
      </w:r>
      <w:r w:rsidRPr="005A368A">
        <w:rPr>
          <w:rFonts w:asciiTheme="majorHAnsi" w:hAnsiTheme="majorHAnsi"/>
          <w:b/>
          <w:sz w:val="20"/>
          <w:szCs w:val="20"/>
        </w:rPr>
        <w:t xml:space="preserve">31% </w:t>
      </w:r>
      <w:r w:rsidR="00E32034" w:rsidRPr="005A368A">
        <w:rPr>
          <w:rFonts w:asciiTheme="majorHAnsi" w:hAnsiTheme="majorHAnsi"/>
          <w:b/>
          <w:sz w:val="20"/>
          <w:szCs w:val="20"/>
        </w:rPr>
        <w:t>of population</w:t>
      </w:r>
      <w:r w:rsidRPr="005A368A">
        <w:rPr>
          <w:rFonts w:asciiTheme="majorHAnsi" w:hAnsiTheme="majorHAnsi"/>
          <w:sz w:val="20"/>
          <w:szCs w:val="20"/>
        </w:rPr>
        <w:t>, ranging between 24% in Ireland and 68%</w:t>
      </w:r>
      <w:r w:rsidR="00E32034" w:rsidRPr="005A368A">
        <w:rPr>
          <w:rFonts w:asciiTheme="majorHAnsi" w:hAnsiTheme="majorHAnsi"/>
          <w:sz w:val="20"/>
          <w:szCs w:val="20"/>
        </w:rPr>
        <w:t xml:space="preserve"> in Greece</w:t>
      </w:r>
      <w:r w:rsidRPr="005A368A">
        <w:rPr>
          <w:rFonts w:asciiTheme="majorHAnsi" w:hAnsiTheme="majorHAnsi"/>
          <w:sz w:val="20"/>
          <w:szCs w:val="20"/>
        </w:rPr>
        <w:t xml:space="preserve">, especially in indoor and outdoor settings of </w:t>
      </w:r>
      <w:r w:rsidRPr="005A368A">
        <w:rPr>
          <w:rFonts w:asciiTheme="majorHAnsi" w:hAnsiTheme="majorHAnsi"/>
          <w:b/>
          <w:sz w:val="20"/>
          <w:szCs w:val="20"/>
        </w:rPr>
        <w:t xml:space="preserve">hospitality venues, workplaces, and </w:t>
      </w:r>
      <w:r w:rsidR="00E32034" w:rsidRPr="005A368A">
        <w:rPr>
          <w:rFonts w:asciiTheme="majorHAnsi" w:hAnsiTheme="majorHAnsi"/>
          <w:b/>
          <w:sz w:val="20"/>
          <w:szCs w:val="20"/>
        </w:rPr>
        <w:t xml:space="preserve">private </w:t>
      </w:r>
      <w:r w:rsidRPr="005A368A">
        <w:rPr>
          <w:rFonts w:asciiTheme="majorHAnsi" w:hAnsiTheme="majorHAnsi"/>
          <w:b/>
          <w:sz w:val="20"/>
          <w:szCs w:val="20"/>
        </w:rPr>
        <w:t>homes and cars</w:t>
      </w:r>
      <w:r w:rsidR="00EE3035" w:rsidRPr="005A368A">
        <w:rPr>
          <w:rFonts w:asciiTheme="majorHAnsi" w:hAnsiTheme="majorHAnsi"/>
          <w:b/>
          <w:sz w:val="20"/>
          <w:szCs w:val="20"/>
        </w:rPr>
        <w:t>.</w:t>
      </w:r>
    </w:p>
    <w:p w14:paraId="29FDB765" w14:textId="4DFD936D" w:rsidR="00F14F42" w:rsidRPr="005A368A" w:rsidRDefault="00F14F42" w:rsidP="00331F12">
      <w:pPr>
        <w:spacing w:before="120"/>
        <w:jc w:val="both"/>
        <w:rPr>
          <w:rFonts w:asciiTheme="majorHAnsi" w:hAnsiTheme="majorHAnsi"/>
          <w:i/>
          <w:sz w:val="20"/>
          <w:szCs w:val="20"/>
        </w:rPr>
      </w:pPr>
      <w:r w:rsidRPr="005A368A">
        <w:rPr>
          <w:rFonts w:asciiTheme="majorHAnsi" w:hAnsiTheme="majorHAnsi"/>
          <w:i/>
          <w:sz w:val="20"/>
          <w:szCs w:val="20"/>
        </w:rPr>
        <w:t xml:space="preserve">What </w:t>
      </w:r>
      <w:r w:rsidR="0057448E" w:rsidRPr="005A368A">
        <w:rPr>
          <w:rFonts w:asciiTheme="majorHAnsi" w:hAnsiTheme="majorHAnsi"/>
          <w:i/>
          <w:sz w:val="20"/>
          <w:szCs w:val="20"/>
        </w:rPr>
        <w:t>should</w:t>
      </w:r>
      <w:r w:rsidRPr="005A368A">
        <w:rPr>
          <w:rFonts w:asciiTheme="majorHAnsi" w:hAnsiTheme="majorHAnsi"/>
          <w:i/>
          <w:sz w:val="20"/>
          <w:szCs w:val="20"/>
        </w:rPr>
        <w:t xml:space="preserve"> we </w:t>
      </w:r>
      <w:r w:rsidR="0057448E" w:rsidRPr="005A368A">
        <w:rPr>
          <w:rFonts w:asciiTheme="majorHAnsi" w:hAnsiTheme="majorHAnsi"/>
          <w:i/>
          <w:sz w:val="20"/>
          <w:szCs w:val="20"/>
        </w:rPr>
        <w:t xml:space="preserve">still </w:t>
      </w:r>
      <w:r w:rsidRPr="005A368A">
        <w:rPr>
          <w:rFonts w:asciiTheme="majorHAnsi" w:hAnsiTheme="majorHAnsi"/>
          <w:i/>
          <w:sz w:val="20"/>
          <w:szCs w:val="20"/>
        </w:rPr>
        <w:t xml:space="preserve">do to protect </w:t>
      </w:r>
      <w:r w:rsidR="0057448E" w:rsidRPr="005A368A">
        <w:rPr>
          <w:rFonts w:asciiTheme="majorHAnsi" w:hAnsiTheme="majorHAnsi"/>
          <w:i/>
          <w:sz w:val="20"/>
          <w:szCs w:val="20"/>
        </w:rPr>
        <w:t xml:space="preserve">the health of each and every European citizen, </w:t>
      </w:r>
      <w:r w:rsidRPr="005A368A">
        <w:rPr>
          <w:rFonts w:asciiTheme="majorHAnsi" w:hAnsiTheme="majorHAnsi"/>
          <w:i/>
          <w:sz w:val="20"/>
          <w:szCs w:val="20"/>
        </w:rPr>
        <w:t>the heal</w:t>
      </w:r>
      <w:r w:rsidR="00E32034" w:rsidRPr="005A368A">
        <w:rPr>
          <w:rFonts w:asciiTheme="majorHAnsi" w:hAnsiTheme="majorHAnsi"/>
          <w:i/>
          <w:sz w:val="20"/>
          <w:szCs w:val="20"/>
        </w:rPr>
        <w:t>th of future generation from this harmful</w:t>
      </w:r>
      <w:r w:rsidRPr="005A368A">
        <w:rPr>
          <w:rFonts w:asciiTheme="majorHAnsi" w:hAnsiTheme="majorHAnsi"/>
          <w:i/>
          <w:sz w:val="20"/>
          <w:szCs w:val="20"/>
        </w:rPr>
        <w:t xml:space="preserve"> exposure?</w:t>
      </w:r>
    </w:p>
    <w:p w14:paraId="699C42F0" w14:textId="60CCFFF3" w:rsidR="00B17946" w:rsidRPr="005A368A" w:rsidRDefault="005B6CBE" w:rsidP="00331F12">
      <w:pPr>
        <w:spacing w:before="120"/>
        <w:jc w:val="both"/>
        <w:rPr>
          <w:rFonts w:asciiTheme="majorHAnsi" w:hAnsiTheme="majorHAnsi"/>
          <w:sz w:val="20"/>
          <w:szCs w:val="20"/>
        </w:rPr>
      </w:pPr>
      <w:r w:rsidRPr="005A368A">
        <w:rPr>
          <w:rFonts w:asciiTheme="majorHAnsi" w:hAnsiTheme="majorHAnsi"/>
          <w:sz w:val="20"/>
          <w:szCs w:val="20"/>
        </w:rPr>
        <w:t xml:space="preserve">In </w:t>
      </w:r>
      <w:r w:rsidR="00E11AB3" w:rsidRPr="005A368A">
        <w:rPr>
          <w:rFonts w:asciiTheme="majorHAnsi" w:hAnsiTheme="majorHAnsi"/>
          <w:sz w:val="20"/>
          <w:szCs w:val="20"/>
        </w:rPr>
        <w:t>pursuit of</w:t>
      </w:r>
      <w:r w:rsidRPr="005A368A">
        <w:rPr>
          <w:rFonts w:asciiTheme="majorHAnsi" w:hAnsiTheme="majorHAnsi"/>
          <w:b/>
          <w:sz w:val="20"/>
          <w:szCs w:val="20"/>
        </w:rPr>
        <w:t xml:space="preserve"> </w:t>
      </w:r>
      <w:r w:rsidR="00E11AB3" w:rsidRPr="005A368A">
        <w:rPr>
          <w:rFonts w:asciiTheme="majorHAnsi" w:hAnsiTheme="majorHAnsi"/>
          <w:b/>
          <w:sz w:val="20"/>
          <w:szCs w:val="20"/>
        </w:rPr>
        <w:t>healthy populations protected from tobacco and second-hand smok</w:t>
      </w:r>
      <w:r w:rsidR="00EB3CF5" w:rsidRPr="005A368A">
        <w:rPr>
          <w:rFonts w:asciiTheme="majorHAnsi" w:hAnsiTheme="majorHAnsi"/>
          <w:b/>
          <w:sz w:val="20"/>
          <w:szCs w:val="20"/>
        </w:rPr>
        <w:t>e</w:t>
      </w:r>
      <w:r w:rsidR="00EB3CF5" w:rsidRPr="005A368A">
        <w:rPr>
          <w:rFonts w:asciiTheme="majorHAnsi" w:hAnsiTheme="majorHAnsi"/>
          <w:sz w:val="20"/>
          <w:szCs w:val="20"/>
        </w:rPr>
        <w:t>,</w:t>
      </w:r>
      <w:r w:rsidRPr="005A368A">
        <w:rPr>
          <w:rFonts w:asciiTheme="majorHAnsi" w:hAnsiTheme="majorHAnsi"/>
          <w:sz w:val="20"/>
          <w:szCs w:val="20"/>
        </w:rPr>
        <w:t xml:space="preserve"> </w:t>
      </w:r>
      <w:r w:rsidR="00EB3CF5" w:rsidRPr="005A368A">
        <w:rPr>
          <w:rFonts w:asciiTheme="majorHAnsi" w:hAnsiTheme="majorHAnsi"/>
          <w:sz w:val="20"/>
          <w:szCs w:val="20"/>
        </w:rPr>
        <w:t xml:space="preserve">as the title of the Conference stated, </w:t>
      </w:r>
      <w:r w:rsidR="005B06C2" w:rsidRPr="005A368A">
        <w:rPr>
          <w:rFonts w:asciiTheme="majorHAnsi" w:hAnsiTheme="majorHAnsi"/>
          <w:sz w:val="20"/>
          <w:szCs w:val="20"/>
        </w:rPr>
        <w:t xml:space="preserve">researchers from Ireland, Italy, </w:t>
      </w:r>
      <w:r w:rsidR="005D1A36">
        <w:rPr>
          <w:rFonts w:asciiTheme="majorHAnsi" w:hAnsiTheme="majorHAnsi"/>
          <w:sz w:val="20"/>
          <w:szCs w:val="20"/>
        </w:rPr>
        <w:t xml:space="preserve">Scotland, </w:t>
      </w:r>
      <w:r w:rsidR="005B06C2" w:rsidRPr="005A368A">
        <w:rPr>
          <w:rFonts w:asciiTheme="majorHAnsi" w:hAnsiTheme="majorHAnsi"/>
          <w:sz w:val="20"/>
          <w:szCs w:val="20"/>
        </w:rPr>
        <w:t>Spain and Greece</w:t>
      </w:r>
      <w:r w:rsidR="00EB3CF5" w:rsidRPr="005A368A">
        <w:rPr>
          <w:rFonts w:asciiTheme="majorHAnsi" w:hAnsiTheme="majorHAnsi"/>
          <w:sz w:val="20"/>
          <w:szCs w:val="20"/>
        </w:rPr>
        <w:t xml:space="preserve"> </w:t>
      </w:r>
      <w:r w:rsidR="00931A39" w:rsidRPr="005A368A">
        <w:rPr>
          <w:rFonts w:asciiTheme="majorHAnsi" w:hAnsiTheme="majorHAnsi"/>
          <w:sz w:val="20"/>
          <w:szCs w:val="20"/>
        </w:rPr>
        <w:t xml:space="preserve">had an honor </w:t>
      </w:r>
      <w:r w:rsidR="005B06C2" w:rsidRPr="005A368A">
        <w:rPr>
          <w:rFonts w:asciiTheme="majorHAnsi" w:hAnsiTheme="majorHAnsi"/>
          <w:sz w:val="20"/>
          <w:szCs w:val="20"/>
        </w:rPr>
        <w:t>of sharing</w:t>
      </w:r>
      <w:r w:rsidR="00931A39" w:rsidRPr="005A368A">
        <w:rPr>
          <w:rFonts w:asciiTheme="majorHAnsi" w:hAnsiTheme="majorHAnsi"/>
          <w:sz w:val="20"/>
          <w:szCs w:val="20"/>
        </w:rPr>
        <w:t xml:space="preserve"> key messages</w:t>
      </w:r>
      <w:r w:rsidR="00282D6B" w:rsidRPr="005A368A">
        <w:rPr>
          <w:rFonts w:asciiTheme="majorHAnsi" w:hAnsiTheme="majorHAnsi"/>
          <w:sz w:val="20"/>
          <w:szCs w:val="20"/>
        </w:rPr>
        <w:t xml:space="preserve"> and recommendations</w:t>
      </w:r>
      <w:r w:rsidR="00931A39" w:rsidRPr="005A368A">
        <w:rPr>
          <w:rFonts w:asciiTheme="majorHAnsi" w:hAnsiTheme="majorHAnsi"/>
          <w:sz w:val="20"/>
          <w:szCs w:val="20"/>
        </w:rPr>
        <w:t xml:space="preserve"> deriving from </w:t>
      </w:r>
      <w:r w:rsidR="005B06C2" w:rsidRPr="005A368A">
        <w:rPr>
          <w:rFonts w:asciiTheme="majorHAnsi" w:hAnsiTheme="majorHAnsi"/>
          <w:sz w:val="20"/>
          <w:szCs w:val="20"/>
        </w:rPr>
        <w:t>4 ye</w:t>
      </w:r>
      <w:r w:rsidR="00282D6B" w:rsidRPr="005A368A">
        <w:rPr>
          <w:rFonts w:asciiTheme="majorHAnsi" w:hAnsiTheme="majorHAnsi"/>
          <w:sz w:val="20"/>
          <w:szCs w:val="20"/>
        </w:rPr>
        <w:t>ars of scientific studies under</w:t>
      </w:r>
      <w:r w:rsidR="005D1A36">
        <w:rPr>
          <w:rFonts w:asciiTheme="majorHAnsi" w:hAnsiTheme="majorHAnsi"/>
          <w:sz w:val="20"/>
          <w:szCs w:val="20"/>
        </w:rPr>
        <w:t xml:space="preserve"> the</w:t>
      </w:r>
      <w:r w:rsidR="005B06C2" w:rsidRPr="005A368A">
        <w:rPr>
          <w:rFonts w:asciiTheme="majorHAnsi" w:hAnsiTheme="majorHAnsi"/>
          <w:sz w:val="20"/>
          <w:szCs w:val="20"/>
        </w:rPr>
        <w:t xml:space="preserve"> TackSHS</w:t>
      </w:r>
      <w:r w:rsidR="00282D6B" w:rsidRPr="005A368A">
        <w:rPr>
          <w:rFonts w:asciiTheme="majorHAnsi" w:hAnsiTheme="majorHAnsi"/>
          <w:sz w:val="20"/>
          <w:szCs w:val="20"/>
        </w:rPr>
        <w:t xml:space="preserve"> project. International audience of public health advocates</w:t>
      </w:r>
      <w:r w:rsidR="001D5832" w:rsidRPr="005A368A">
        <w:rPr>
          <w:rFonts w:asciiTheme="majorHAnsi" w:hAnsiTheme="majorHAnsi"/>
          <w:sz w:val="20"/>
          <w:szCs w:val="20"/>
        </w:rPr>
        <w:t>, the</w:t>
      </w:r>
      <w:r w:rsidR="00282D6B" w:rsidRPr="005A368A">
        <w:rPr>
          <w:rFonts w:asciiTheme="majorHAnsi" w:hAnsiTheme="majorHAnsi"/>
          <w:sz w:val="20"/>
          <w:szCs w:val="20"/>
        </w:rPr>
        <w:t xml:space="preserve"> EU </w:t>
      </w:r>
      <w:r w:rsidR="001D5832" w:rsidRPr="005A368A">
        <w:rPr>
          <w:rFonts w:asciiTheme="majorHAnsi" w:hAnsiTheme="majorHAnsi"/>
          <w:sz w:val="20"/>
          <w:szCs w:val="20"/>
        </w:rPr>
        <w:t xml:space="preserve">and national </w:t>
      </w:r>
      <w:r w:rsidR="00282D6B" w:rsidRPr="005A368A">
        <w:rPr>
          <w:rFonts w:asciiTheme="majorHAnsi" w:hAnsiTheme="majorHAnsi"/>
          <w:sz w:val="20"/>
          <w:szCs w:val="20"/>
        </w:rPr>
        <w:t xml:space="preserve">officials and country representatives, </w:t>
      </w:r>
      <w:r w:rsidR="001D5832" w:rsidRPr="005A368A">
        <w:rPr>
          <w:rFonts w:asciiTheme="majorHAnsi" w:hAnsiTheme="majorHAnsi"/>
          <w:sz w:val="20"/>
          <w:szCs w:val="20"/>
        </w:rPr>
        <w:t>academics, health care professionals, representatives of medical societies, public health associations and health-oriented NGOs</w:t>
      </w:r>
      <w:r w:rsidR="00592072" w:rsidRPr="005A368A">
        <w:rPr>
          <w:rFonts w:asciiTheme="majorHAnsi" w:hAnsiTheme="majorHAnsi"/>
          <w:sz w:val="20"/>
          <w:szCs w:val="20"/>
        </w:rPr>
        <w:t>, journalists</w:t>
      </w:r>
      <w:r w:rsidR="00C153F7" w:rsidRPr="005A368A">
        <w:rPr>
          <w:rFonts w:asciiTheme="majorHAnsi" w:hAnsiTheme="majorHAnsi"/>
          <w:sz w:val="20"/>
          <w:szCs w:val="20"/>
        </w:rPr>
        <w:t xml:space="preserve"> and media –</w:t>
      </w:r>
      <w:r w:rsidR="001D5832" w:rsidRPr="005A368A">
        <w:rPr>
          <w:rFonts w:asciiTheme="majorHAnsi" w:hAnsiTheme="majorHAnsi"/>
          <w:sz w:val="20"/>
          <w:szCs w:val="20"/>
        </w:rPr>
        <w:t xml:space="preserve"> all the attendees </w:t>
      </w:r>
      <w:r w:rsidR="00592072" w:rsidRPr="005A368A">
        <w:rPr>
          <w:rFonts w:asciiTheme="majorHAnsi" w:hAnsiTheme="majorHAnsi"/>
          <w:sz w:val="20"/>
          <w:szCs w:val="20"/>
        </w:rPr>
        <w:t>jo</w:t>
      </w:r>
      <w:r w:rsidR="001D5832" w:rsidRPr="005A368A">
        <w:rPr>
          <w:rFonts w:asciiTheme="majorHAnsi" w:hAnsiTheme="majorHAnsi"/>
          <w:sz w:val="20"/>
          <w:szCs w:val="20"/>
        </w:rPr>
        <w:t xml:space="preserve">int forces in the discussion to further advance tobacco control and take necessary </w:t>
      </w:r>
      <w:r w:rsidR="00592072" w:rsidRPr="005A368A">
        <w:rPr>
          <w:rFonts w:asciiTheme="majorHAnsi" w:hAnsiTheme="majorHAnsi"/>
          <w:sz w:val="20"/>
          <w:szCs w:val="20"/>
        </w:rPr>
        <w:t xml:space="preserve">measures to protect </w:t>
      </w:r>
      <w:r w:rsidR="00480297" w:rsidRPr="005A368A">
        <w:rPr>
          <w:rFonts w:asciiTheme="majorHAnsi" w:hAnsiTheme="majorHAnsi"/>
          <w:sz w:val="20"/>
          <w:szCs w:val="20"/>
        </w:rPr>
        <w:t>public health</w:t>
      </w:r>
      <w:r w:rsidR="00592072" w:rsidRPr="005A368A">
        <w:rPr>
          <w:rFonts w:asciiTheme="majorHAnsi" w:hAnsiTheme="majorHAnsi"/>
          <w:sz w:val="20"/>
          <w:szCs w:val="20"/>
        </w:rPr>
        <w:t>.</w:t>
      </w:r>
      <w:r w:rsidR="00EB3CF5" w:rsidRPr="005A368A">
        <w:rPr>
          <w:rFonts w:asciiTheme="majorHAnsi" w:hAnsiTheme="majorHAnsi"/>
          <w:sz w:val="20"/>
          <w:szCs w:val="20"/>
        </w:rPr>
        <w:t xml:space="preserve"> </w:t>
      </w:r>
    </w:p>
    <w:p w14:paraId="124751FF" w14:textId="0ADFDF02" w:rsidR="00480297" w:rsidRPr="005A368A" w:rsidRDefault="00E43021" w:rsidP="00331F12">
      <w:pPr>
        <w:spacing w:before="120"/>
        <w:jc w:val="both"/>
        <w:rPr>
          <w:rFonts w:asciiTheme="majorHAnsi" w:eastAsia="Times New Roman" w:hAnsiTheme="majorHAnsi"/>
        </w:rPr>
      </w:pPr>
      <w:r w:rsidRPr="005A368A">
        <w:rPr>
          <w:rFonts w:asciiTheme="majorHAnsi" w:hAnsiTheme="majorHAnsi"/>
          <w:sz w:val="20"/>
          <w:szCs w:val="20"/>
        </w:rPr>
        <w:t xml:space="preserve">After a welcoming word of MEP </w:t>
      </w:r>
      <w:proofErr w:type="spellStart"/>
      <w:r w:rsidRPr="005A368A">
        <w:rPr>
          <w:rFonts w:asciiTheme="majorHAnsi" w:hAnsiTheme="majorHAnsi"/>
          <w:sz w:val="20"/>
          <w:szCs w:val="20"/>
        </w:rPr>
        <w:t>Bușoi</w:t>
      </w:r>
      <w:proofErr w:type="spellEnd"/>
      <w:r w:rsidRPr="005A368A">
        <w:rPr>
          <w:rFonts w:asciiTheme="majorHAnsi" w:hAnsiTheme="majorHAnsi"/>
          <w:sz w:val="20"/>
          <w:szCs w:val="20"/>
        </w:rPr>
        <w:t>, t</w:t>
      </w:r>
      <w:r w:rsidR="00480297" w:rsidRPr="005A368A">
        <w:rPr>
          <w:rFonts w:asciiTheme="majorHAnsi" w:hAnsiTheme="majorHAnsi"/>
          <w:sz w:val="20"/>
          <w:szCs w:val="20"/>
        </w:rPr>
        <w:t>he</w:t>
      </w:r>
      <w:r w:rsidR="007B3A74" w:rsidRPr="005A368A">
        <w:rPr>
          <w:rFonts w:asciiTheme="majorHAnsi" w:hAnsiTheme="majorHAnsi"/>
          <w:sz w:val="20"/>
          <w:szCs w:val="20"/>
        </w:rPr>
        <w:t xml:space="preserve"> Conference was </w:t>
      </w:r>
      <w:r w:rsidRPr="005A368A">
        <w:rPr>
          <w:rFonts w:asciiTheme="majorHAnsi" w:hAnsiTheme="majorHAnsi"/>
          <w:sz w:val="20"/>
          <w:szCs w:val="20"/>
        </w:rPr>
        <w:t>launched</w:t>
      </w:r>
      <w:r w:rsidR="00931A39" w:rsidRPr="005A368A">
        <w:rPr>
          <w:rFonts w:asciiTheme="majorHAnsi" w:hAnsiTheme="majorHAnsi"/>
          <w:sz w:val="20"/>
          <w:szCs w:val="20"/>
        </w:rPr>
        <w:t xml:space="preserve"> with</w:t>
      </w:r>
      <w:r w:rsidR="00480297" w:rsidRPr="005A368A">
        <w:rPr>
          <w:rFonts w:asciiTheme="majorHAnsi" w:hAnsiTheme="majorHAnsi"/>
          <w:sz w:val="20"/>
          <w:szCs w:val="20"/>
        </w:rPr>
        <w:t xml:space="preserve"> </w:t>
      </w:r>
      <w:r w:rsidR="007B3A74" w:rsidRPr="005A368A">
        <w:rPr>
          <w:rFonts w:asciiTheme="majorHAnsi" w:hAnsiTheme="majorHAnsi"/>
          <w:sz w:val="20"/>
          <w:szCs w:val="20"/>
        </w:rPr>
        <w:t xml:space="preserve">the presentations of </w:t>
      </w:r>
      <w:r w:rsidRPr="005A368A">
        <w:rPr>
          <w:rFonts w:asciiTheme="majorHAnsi" w:hAnsiTheme="majorHAnsi"/>
          <w:sz w:val="20"/>
          <w:szCs w:val="20"/>
        </w:rPr>
        <w:t xml:space="preserve">Mrs. Thea </w:t>
      </w:r>
      <w:r w:rsidR="00931A39" w:rsidRPr="005A368A">
        <w:rPr>
          <w:rFonts w:asciiTheme="majorHAnsi" w:hAnsiTheme="majorHAnsi"/>
          <w:sz w:val="20"/>
          <w:szCs w:val="20"/>
        </w:rPr>
        <w:t xml:space="preserve">Emmerling (Head of Unit, </w:t>
      </w:r>
      <w:r w:rsidRPr="005A368A">
        <w:rPr>
          <w:rFonts w:asciiTheme="majorHAnsi" w:hAnsiTheme="majorHAnsi"/>
          <w:sz w:val="20"/>
          <w:szCs w:val="20"/>
        </w:rPr>
        <w:t xml:space="preserve">the </w:t>
      </w:r>
      <w:r w:rsidR="007B3A74" w:rsidRPr="005A368A">
        <w:rPr>
          <w:rFonts w:asciiTheme="majorHAnsi" w:hAnsiTheme="majorHAnsi"/>
          <w:sz w:val="20"/>
          <w:szCs w:val="20"/>
        </w:rPr>
        <w:t xml:space="preserve">Cross-border </w:t>
      </w:r>
      <w:r w:rsidR="00931A39" w:rsidRPr="005A368A">
        <w:rPr>
          <w:rFonts w:asciiTheme="majorHAnsi" w:hAnsiTheme="majorHAnsi"/>
          <w:sz w:val="20"/>
          <w:szCs w:val="20"/>
        </w:rPr>
        <w:t>health care and tobacco control, DG SANTE,</w:t>
      </w:r>
      <w:r w:rsidRPr="005A368A">
        <w:rPr>
          <w:rFonts w:asciiTheme="majorHAnsi" w:hAnsiTheme="majorHAnsi"/>
          <w:sz w:val="20"/>
          <w:szCs w:val="20"/>
        </w:rPr>
        <w:t xml:space="preserve"> European Commission</w:t>
      </w:r>
      <w:r w:rsidR="00931A39" w:rsidRPr="005A368A">
        <w:rPr>
          <w:rFonts w:asciiTheme="majorHAnsi" w:hAnsiTheme="majorHAnsi"/>
          <w:sz w:val="20"/>
          <w:szCs w:val="20"/>
        </w:rPr>
        <w:t xml:space="preserve">) </w:t>
      </w:r>
      <w:r w:rsidRPr="005A368A">
        <w:rPr>
          <w:rFonts w:asciiTheme="majorHAnsi" w:hAnsiTheme="majorHAnsi"/>
          <w:sz w:val="20"/>
          <w:szCs w:val="20"/>
        </w:rPr>
        <w:t>and Dr. Francisco Lozano</w:t>
      </w:r>
      <w:r w:rsidR="00931A39" w:rsidRPr="005A368A">
        <w:rPr>
          <w:rFonts w:asciiTheme="majorHAnsi" w:hAnsiTheme="majorHAnsi"/>
          <w:sz w:val="20"/>
          <w:szCs w:val="20"/>
        </w:rPr>
        <w:t xml:space="preserve"> (President, </w:t>
      </w:r>
      <w:r w:rsidRPr="005A368A">
        <w:rPr>
          <w:rFonts w:asciiTheme="majorHAnsi" w:hAnsiTheme="majorHAnsi"/>
          <w:sz w:val="20"/>
          <w:szCs w:val="20"/>
        </w:rPr>
        <w:t>European Network for Smoking and Tobacco Prevention</w:t>
      </w:r>
      <w:r w:rsidR="00931A39" w:rsidRPr="005A368A">
        <w:rPr>
          <w:rFonts w:asciiTheme="majorHAnsi" w:hAnsiTheme="majorHAnsi"/>
          <w:sz w:val="20"/>
          <w:szCs w:val="20"/>
        </w:rPr>
        <w:t>) on the state of tobacco control in Europe and related policy priorities</w:t>
      </w:r>
      <w:r w:rsidRPr="005A368A">
        <w:rPr>
          <w:rFonts w:asciiTheme="majorHAnsi" w:hAnsiTheme="majorHAnsi"/>
          <w:sz w:val="20"/>
          <w:szCs w:val="20"/>
        </w:rPr>
        <w:t>. The opening session</w:t>
      </w:r>
      <w:r w:rsidR="00480297" w:rsidRPr="005A368A">
        <w:rPr>
          <w:rFonts w:asciiTheme="majorHAnsi" w:hAnsiTheme="majorHAnsi"/>
          <w:sz w:val="20"/>
          <w:szCs w:val="20"/>
        </w:rPr>
        <w:t xml:space="preserve"> was followed by </w:t>
      </w:r>
      <w:r w:rsidRPr="005A368A">
        <w:rPr>
          <w:rFonts w:asciiTheme="majorHAnsi" w:hAnsiTheme="majorHAnsi"/>
          <w:sz w:val="20"/>
          <w:szCs w:val="20"/>
        </w:rPr>
        <w:t>a</w:t>
      </w:r>
      <w:r w:rsidR="00480297" w:rsidRPr="005A368A">
        <w:rPr>
          <w:rFonts w:asciiTheme="majorHAnsi" w:hAnsiTheme="majorHAnsi"/>
          <w:sz w:val="20"/>
          <w:szCs w:val="20"/>
        </w:rPr>
        <w:t xml:space="preserve"> comp</w:t>
      </w:r>
      <w:r w:rsidRPr="005A368A">
        <w:rPr>
          <w:rFonts w:asciiTheme="majorHAnsi" w:hAnsiTheme="majorHAnsi"/>
          <w:sz w:val="20"/>
          <w:szCs w:val="20"/>
        </w:rPr>
        <w:t>rehensive project overview deli</w:t>
      </w:r>
      <w:r w:rsidR="00480297" w:rsidRPr="005A368A">
        <w:rPr>
          <w:rFonts w:asciiTheme="majorHAnsi" w:hAnsiTheme="majorHAnsi"/>
          <w:sz w:val="20"/>
          <w:szCs w:val="20"/>
        </w:rPr>
        <w:t>vered by its coordinator, Prof. Esteve Fernández</w:t>
      </w:r>
      <w:r w:rsidR="00931A39" w:rsidRPr="005A368A">
        <w:rPr>
          <w:rFonts w:asciiTheme="majorHAnsi" w:hAnsiTheme="majorHAnsi"/>
          <w:sz w:val="20"/>
          <w:szCs w:val="20"/>
        </w:rPr>
        <w:t xml:space="preserve"> (Director, </w:t>
      </w:r>
      <w:r w:rsidRPr="005A368A">
        <w:rPr>
          <w:rFonts w:asciiTheme="majorHAnsi" w:hAnsiTheme="majorHAnsi"/>
          <w:sz w:val="20"/>
          <w:szCs w:val="20"/>
        </w:rPr>
        <w:t>Tobacco Control Unit at the Catalan Institute of Oncology</w:t>
      </w:r>
      <w:r w:rsidR="00931A39" w:rsidRPr="005A368A">
        <w:rPr>
          <w:rFonts w:asciiTheme="majorHAnsi" w:hAnsiTheme="majorHAnsi"/>
          <w:sz w:val="20"/>
          <w:szCs w:val="20"/>
        </w:rPr>
        <w:t>)</w:t>
      </w:r>
      <w:r w:rsidRPr="005A368A">
        <w:rPr>
          <w:rFonts w:asciiTheme="majorHAnsi" w:hAnsiTheme="majorHAnsi"/>
          <w:sz w:val="20"/>
          <w:szCs w:val="20"/>
        </w:rPr>
        <w:t>.</w:t>
      </w:r>
    </w:p>
    <w:p w14:paraId="3DDED535" w14:textId="03ACEE7B" w:rsidR="00592072" w:rsidRDefault="00480297" w:rsidP="00331F12">
      <w:pPr>
        <w:spacing w:before="120"/>
        <w:jc w:val="both"/>
        <w:rPr>
          <w:rFonts w:asciiTheme="majorHAnsi" w:hAnsiTheme="majorHAnsi"/>
          <w:sz w:val="20"/>
          <w:szCs w:val="20"/>
        </w:rPr>
      </w:pPr>
      <w:r w:rsidRPr="005A368A">
        <w:rPr>
          <w:rFonts w:asciiTheme="majorHAnsi" w:hAnsiTheme="majorHAnsi"/>
          <w:sz w:val="20"/>
          <w:szCs w:val="20"/>
        </w:rPr>
        <w:t xml:space="preserve">Further on, </w:t>
      </w:r>
      <w:r w:rsidR="00931A39" w:rsidRPr="005A368A">
        <w:rPr>
          <w:rFonts w:asciiTheme="majorHAnsi" w:hAnsiTheme="majorHAnsi"/>
          <w:sz w:val="20"/>
          <w:szCs w:val="20"/>
        </w:rPr>
        <w:t xml:space="preserve">during an interactive debate moderated by Dr. Armando Peruga (Former Programme Manager of WHO's Tobacco Free Initiative), participating </w:t>
      </w:r>
      <w:r w:rsidR="00E43021" w:rsidRPr="005A368A">
        <w:rPr>
          <w:rFonts w:asciiTheme="majorHAnsi" w:hAnsiTheme="majorHAnsi"/>
          <w:sz w:val="20"/>
          <w:szCs w:val="20"/>
        </w:rPr>
        <w:t>r</w:t>
      </w:r>
      <w:r w:rsidR="00592072" w:rsidRPr="005A368A">
        <w:rPr>
          <w:rFonts w:asciiTheme="majorHAnsi" w:hAnsiTheme="majorHAnsi"/>
          <w:sz w:val="20"/>
          <w:szCs w:val="20"/>
        </w:rPr>
        <w:t>esea</w:t>
      </w:r>
      <w:r w:rsidR="004641B1" w:rsidRPr="005A368A">
        <w:rPr>
          <w:rFonts w:asciiTheme="majorHAnsi" w:hAnsiTheme="majorHAnsi"/>
          <w:sz w:val="20"/>
          <w:szCs w:val="20"/>
        </w:rPr>
        <w:t xml:space="preserve">rchers </w:t>
      </w:r>
      <w:r w:rsidR="00E43021" w:rsidRPr="005A368A">
        <w:rPr>
          <w:rFonts w:asciiTheme="majorHAnsi" w:hAnsiTheme="majorHAnsi"/>
          <w:sz w:val="20"/>
          <w:szCs w:val="20"/>
        </w:rPr>
        <w:t xml:space="preserve">from 6 European countries </w:t>
      </w:r>
      <w:r w:rsidR="004641B1" w:rsidRPr="005A368A">
        <w:rPr>
          <w:rFonts w:asciiTheme="majorHAnsi" w:hAnsiTheme="majorHAnsi"/>
          <w:sz w:val="20"/>
          <w:szCs w:val="20"/>
        </w:rPr>
        <w:t xml:space="preserve">shared worrying numbers </w:t>
      </w:r>
      <w:r w:rsidR="00931A39" w:rsidRPr="005A368A">
        <w:rPr>
          <w:rFonts w:asciiTheme="majorHAnsi" w:hAnsiTheme="majorHAnsi"/>
          <w:sz w:val="20"/>
          <w:szCs w:val="20"/>
        </w:rPr>
        <w:t xml:space="preserve">concerning: 1) </w:t>
      </w:r>
      <w:r w:rsidR="005D1A36">
        <w:rPr>
          <w:rFonts w:asciiTheme="majorHAnsi" w:hAnsiTheme="majorHAnsi"/>
          <w:sz w:val="20"/>
          <w:szCs w:val="20"/>
        </w:rPr>
        <w:t xml:space="preserve">secondhand tobacco smoke exposure, </w:t>
      </w:r>
      <w:r w:rsidR="005D1A36" w:rsidRPr="005A368A">
        <w:rPr>
          <w:rFonts w:asciiTheme="majorHAnsi" w:hAnsiTheme="majorHAnsi"/>
          <w:sz w:val="20"/>
          <w:szCs w:val="20"/>
        </w:rPr>
        <w:t xml:space="preserve">electronic cigarette use and exposure to their </w:t>
      </w:r>
      <w:r w:rsidR="005D1A36">
        <w:rPr>
          <w:rFonts w:asciiTheme="majorHAnsi" w:hAnsiTheme="majorHAnsi"/>
          <w:sz w:val="20"/>
          <w:szCs w:val="20"/>
        </w:rPr>
        <w:t xml:space="preserve">aerosols; and 2) </w:t>
      </w:r>
      <w:r w:rsidR="00282D6B" w:rsidRPr="005A368A">
        <w:rPr>
          <w:rFonts w:asciiTheme="majorHAnsi" w:hAnsiTheme="majorHAnsi"/>
          <w:sz w:val="20"/>
          <w:szCs w:val="20"/>
        </w:rPr>
        <w:t>b</w:t>
      </w:r>
      <w:r w:rsidRPr="005A368A">
        <w:rPr>
          <w:rFonts w:asciiTheme="majorHAnsi" w:hAnsiTheme="majorHAnsi"/>
          <w:sz w:val="20"/>
          <w:szCs w:val="20"/>
        </w:rPr>
        <w:t xml:space="preserve">urden of </w:t>
      </w:r>
      <w:r w:rsidR="00282D6B" w:rsidRPr="005A368A">
        <w:rPr>
          <w:rFonts w:asciiTheme="majorHAnsi" w:hAnsiTheme="majorHAnsi"/>
          <w:sz w:val="20"/>
          <w:szCs w:val="20"/>
        </w:rPr>
        <w:t>SHS</w:t>
      </w:r>
      <w:r w:rsidR="005D1A36">
        <w:rPr>
          <w:rFonts w:asciiTheme="majorHAnsi" w:hAnsiTheme="majorHAnsi"/>
          <w:sz w:val="20"/>
          <w:szCs w:val="20"/>
        </w:rPr>
        <w:t xml:space="preserve"> exposure</w:t>
      </w:r>
      <w:r w:rsidR="00282D6B" w:rsidRPr="005A368A">
        <w:rPr>
          <w:rFonts w:asciiTheme="majorHAnsi" w:hAnsiTheme="majorHAnsi"/>
          <w:sz w:val="20"/>
          <w:szCs w:val="20"/>
        </w:rPr>
        <w:t>.</w:t>
      </w:r>
    </w:p>
    <w:p w14:paraId="6F3CF4EF" w14:textId="0F1DC2AD" w:rsidR="00331F12" w:rsidRDefault="00331F12" w:rsidP="00331F12">
      <w:pPr>
        <w:spacing w:before="120"/>
        <w:jc w:val="both"/>
        <w:rPr>
          <w:rFonts w:asciiTheme="majorHAnsi" w:hAnsiTheme="majorHAnsi"/>
          <w:sz w:val="20"/>
          <w:szCs w:val="20"/>
        </w:rPr>
      </w:pPr>
      <w:r w:rsidRPr="00331F12">
        <w:rPr>
          <w:rFonts w:asciiTheme="majorHAnsi" w:hAnsiTheme="majorHAnsi"/>
          <w:sz w:val="20"/>
          <w:szCs w:val="20"/>
        </w:rPr>
        <w:t>Daily exposure to SHS among non-smokers is highly prevalent in most European countries (31% overall, ranging between 24% in Ireland and 68% in Greece), especially in indoor and outdoor settings of hospitality venues, workplaces, and homes and cars</w:t>
      </w:r>
      <w:r>
        <w:rPr>
          <w:rFonts w:asciiTheme="majorHAnsi" w:hAnsiTheme="majorHAnsi"/>
          <w:sz w:val="20"/>
          <w:szCs w:val="20"/>
        </w:rPr>
        <w:t xml:space="preserve">. </w:t>
      </w:r>
    </w:p>
    <w:p w14:paraId="7AA12EEA" w14:textId="479D0B0A" w:rsidR="00331F12" w:rsidRDefault="00331F12" w:rsidP="00331F12">
      <w:pPr>
        <w:spacing w:before="120"/>
        <w:jc w:val="both"/>
        <w:rPr>
          <w:rFonts w:asciiTheme="majorHAnsi" w:hAnsiTheme="majorHAnsi"/>
          <w:sz w:val="20"/>
          <w:szCs w:val="20"/>
        </w:rPr>
      </w:pPr>
      <w:r w:rsidRPr="00331F12">
        <w:rPr>
          <w:rFonts w:asciiTheme="majorHAnsi" w:hAnsiTheme="majorHAnsi"/>
          <w:sz w:val="20"/>
          <w:szCs w:val="20"/>
        </w:rPr>
        <w:t>Smoking occurs and SHS is present in almost all outdoor terraces of bars and restaurants across Europe, even in countries with legislation in these settings</w:t>
      </w:r>
      <w:r>
        <w:rPr>
          <w:rFonts w:asciiTheme="majorHAnsi" w:hAnsiTheme="majorHAnsi"/>
          <w:sz w:val="20"/>
          <w:szCs w:val="20"/>
        </w:rPr>
        <w:t>. Moreover, s</w:t>
      </w:r>
      <w:r w:rsidRPr="00331F12">
        <w:rPr>
          <w:rFonts w:asciiTheme="majorHAnsi" w:hAnsiTheme="majorHAnsi"/>
          <w:sz w:val="20"/>
          <w:szCs w:val="20"/>
        </w:rPr>
        <w:t>moking occurs and SHS is present in most playgrounds and entrances to schools across Europe, especially in deprived neighborhoods and countries with lower tobacco control climate</w:t>
      </w:r>
      <w:r>
        <w:rPr>
          <w:rFonts w:asciiTheme="majorHAnsi" w:hAnsiTheme="majorHAnsi"/>
          <w:sz w:val="20"/>
          <w:szCs w:val="20"/>
        </w:rPr>
        <w:t xml:space="preserve">. </w:t>
      </w:r>
    </w:p>
    <w:p w14:paraId="6EA7C644" w14:textId="77777777" w:rsidR="00070D96" w:rsidRPr="00501934" w:rsidRDefault="00070D96" w:rsidP="00070D96">
      <w:pPr>
        <w:rPr>
          <w:b/>
          <w:bCs/>
          <w:sz w:val="20"/>
          <w:szCs w:val="20"/>
          <w:lang w:val="en-GB"/>
        </w:rPr>
      </w:pPr>
      <w:r w:rsidRPr="00501934">
        <w:rPr>
          <w:b/>
          <w:bCs/>
          <w:sz w:val="20"/>
          <w:szCs w:val="20"/>
          <w:lang w:val="en-GB"/>
        </w:rPr>
        <w:t>TobaccoFree Research Institute Ireland (TFRI) was the National Representative for Ireland in WP 2 and did the studies of exposure to nicotine in Dublin schools, playgrounds, and outside areas in pubs.</w:t>
      </w:r>
    </w:p>
    <w:p w14:paraId="356E2367" w14:textId="77777777" w:rsidR="00070D96" w:rsidRPr="00501934" w:rsidRDefault="00070D96" w:rsidP="00070D96">
      <w:pPr>
        <w:rPr>
          <w:b/>
          <w:bCs/>
          <w:sz w:val="20"/>
          <w:szCs w:val="20"/>
          <w:lang w:val="en-GB"/>
        </w:rPr>
      </w:pPr>
      <w:r w:rsidRPr="00501934">
        <w:rPr>
          <w:b/>
          <w:bCs/>
          <w:sz w:val="20"/>
          <w:szCs w:val="20"/>
          <w:lang w:val="en-GB"/>
        </w:rPr>
        <w:t>TFRI was also the Irish partner for the WP3, 12 country survey of prevalence of smoking, ecigs usage, secondhand smoke exposure (SHS) and aerosol exposure from ecigs (SHA)</w:t>
      </w:r>
    </w:p>
    <w:p w14:paraId="5D50F444" w14:textId="54F473B9" w:rsidR="00070D96" w:rsidRPr="00501934" w:rsidRDefault="00070D96" w:rsidP="00070D96">
      <w:pPr>
        <w:rPr>
          <w:b/>
          <w:bCs/>
          <w:sz w:val="20"/>
          <w:szCs w:val="20"/>
          <w:lang w:val="en-GB"/>
        </w:rPr>
      </w:pPr>
      <w:r w:rsidRPr="00501934">
        <w:rPr>
          <w:b/>
          <w:bCs/>
          <w:sz w:val="20"/>
          <w:szCs w:val="20"/>
          <w:lang w:val="en-GB"/>
        </w:rPr>
        <w:t>TFRI was the Principal Investigator (PI) for the only clinical study in TackSHS where personal exposure to SHS was measured, as PM2.5, and every breath recorded in 30 Asthmatic and 30 COPD patients during a planned visit to a legal outside area</w:t>
      </w:r>
      <w:r w:rsidR="00A11E0E">
        <w:rPr>
          <w:b/>
          <w:bCs/>
          <w:sz w:val="20"/>
          <w:szCs w:val="20"/>
          <w:lang w:val="en-GB"/>
        </w:rPr>
        <w:t xml:space="preserve"> of a pub</w:t>
      </w:r>
      <w:r w:rsidRPr="00501934">
        <w:rPr>
          <w:b/>
          <w:bCs/>
          <w:sz w:val="20"/>
          <w:szCs w:val="20"/>
          <w:lang w:val="en-GB"/>
        </w:rPr>
        <w:t>. Patients were studied in Czechia, Spain and Ireland. Very high levels of exposure were recorded and the accomp</w:t>
      </w:r>
      <w:bookmarkStart w:id="0" w:name="_GoBack"/>
      <w:bookmarkEnd w:id="0"/>
      <w:r w:rsidRPr="00501934">
        <w:rPr>
          <w:b/>
          <w:bCs/>
          <w:sz w:val="20"/>
          <w:szCs w:val="20"/>
          <w:lang w:val="en-GB"/>
        </w:rPr>
        <w:t xml:space="preserve">anying changes in breathing noted. </w:t>
      </w:r>
      <w:r w:rsidRPr="00501934">
        <w:rPr>
          <w:b/>
          <w:bCs/>
          <w:sz w:val="20"/>
          <w:szCs w:val="20"/>
          <w:lang w:val="en-GB"/>
        </w:rPr>
        <w:lastRenderedPageBreak/>
        <w:t>As a result, the TackSHS consortium concluded that these areas are not safe for patients and recommended that EU countries take action.</w:t>
      </w:r>
    </w:p>
    <w:p w14:paraId="05B7CA58" w14:textId="77777777" w:rsidR="00070D96" w:rsidRPr="00501934" w:rsidRDefault="00070D96" w:rsidP="00070D96">
      <w:pPr>
        <w:rPr>
          <w:b/>
          <w:bCs/>
          <w:sz w:val="20"/>
          <w:szCs w:val="20"/>
          <w:lang w:val="en-GB"/>
        </w:rPr>
      </w:pPr>
      <w:r w:rsidRPr="00501934">
        <w:rPr>
          <w:b/>
          <w:bCs/>
          <w:sz w:val="20"/>
          <w:szCs w:val="20"/>
          <w:lang w:val="en-GB"/>
        </w:rPr>
        <w:t>Sheila Keogan, Hannah Byrne and Luke Clancy were the TFRI researchers.</w:t>
      </w:r>
    </w:p>
    <w:p w14:paraId="6EBD4909" w14:textId="77777777" w:rsidR="00070D96" w:rsidRPr="00501934" w:rsidRDefault="00070D96" w:rsidP="00331F12">
      <w:pPr>
        <w:spacing w:before="120"/>
        <w:jc w:val="both"/>
        <w:rPr>
          <w:rFonts w:asciiTheme="majorHAnsi" w:hAnsiTheme="majorHAnsi"/>
          <w:b/>
          <w:bCs/>
          <w:sz w:val="20"/>
          <w:szCs w:val="20"/>
        </w:rPr>
      </w:pPr>
    </w:p>
    <w:p w14:paraId="47FCDE19" w14:textId="3689E735" w:rsidR="00331F12" w:rsidRDefault="00331F12" w:rsidP="00331F12">
      <w:pPr>
        <w:spacing w:before="120"/>
        <w:jc w:val="both"/>
        <w:rPr>
          <w:rFonts w:asciiTheme="majorHAnsi" w:hAnsiTheme="majorHAnsi"/>
          <w:sz w:val="20"/>
          <w:szCs w:val="20"/>
        </w:rPr>
      </w:pPr>
      <w:r w:rsidRPr="00331F12">
        <w:rPr>
          <w:rFonts w:asciiTheme="majorHAnsi" w:hAnsiTheme="majorHAnsi"/>
          <w:sz w:val="20"/>
          <w:szCs w:val="20"/>
        </w:rPr>
        <w:t>Across Europe, three out of five smokers allow smoking in their homes, with very high levels of SHS exposure detected, potentially affecting children and other bystanders</w:t>
      </w:r>
      <w:r>
        <w:rPr>
          <w:rFonts w:asciiTheme="majorHAnsi" w:hAnsiTheme="majorHAnsi"/>
          <w:sz w:val="20"/>
          <w:szCs w:val="20"/>
        </w:rPr>
        <w:t xml:space="preserve">. In addition, </w:t>
      </w:r>
      <w:r w:rsidRPr="00331F12">
        <w:rPr>
          <w:rFonts w:asciiTheme="majorHAnsi" w:hAnsiTheme="majorHAnsi"/>
          <w:sz w:val="20"/>
          <w:szCs w:val="20"/>
        </w:rPr>
        <w:t>SHS levels in cars of smokers are very high, with nicotine concentrations exceeding those observed in smokers’ homes</w:t>
      </w:r>
      <w:r>
        <w:rPr>
          <w:rFonts w:asciiTheme="majorHAnsi" w:hAnsiTheme="majorHAnsi"/>
          <w:sz w:val="20"/>
          <w:szCs w:val="20"/>
        </w:rPr>
        <w:t>.</w:t>
      </w:r>
    </w:p>
    <w:p w14:paraId="6377B2DF" w14:textId="0215EDF5" w:rsidR="005037D3" w:rsidRDefault="005037D3" w:rsidP="00331F12">
      <w:pPr>
        <w:spacing w:before="120"/>
        <w:jc w:val="both"/>
        <w:rPr>
          <w:rFonts w:asciiTheme="majorHAnsi" w:hAnsiTheme="majorHAnsi"/>
          <w:sz w:val="20"/>
          <w:szCs w:val="20"/>
        </w:rPr>
      </w:pPr>
    </w:p>
    <w:p w14:paraId="1E56746C" w14:textId="77777777" w:rsidR="005037D3" w:rsidRPr="005A368A" w:rsidRDefault="005037D3" w:rsidP="00331F12">
      <w:pPr>
        <w:spacing w:before="120"/>
        <w:jc w:val="both"/>
        <w:rPr>
          <w:rFonts w:asciiTheme="majorHAnsi" w:hAnsiTheme="majorHAnsi"/>
          <w:sz w:val="20"/>
          <w:szCs w:val="20"/>
        </w:rPr>
      </w:pPr>
    </w:p>
    <w:p w14:paraId="295D605D" w14:textId="3EED1206" w:rsidR="00C153F7" w:rsidRPr="005A368A" w:rsidRDefault="006045DF" w:rsidP="00331F12">
      <w:pPr>
        <w:spacing w:before="120"/>
        <w:jc w:val="both"/>
        <w:rPr>
          <w:rFonts w:asciiTheme="majorHAnsi" w:hAnsiTheme="majorHAnsi"/>
          <w:sz w:val="20"/>
          <w:szCs w:val="20"/>
        </w:rPr>
      </w:pPr>
      <w:r w:rsidRPr="005A368A">
        <w:rPr>
          <w:rFonts w:asciiTheme="majorHAnsi" w:hAnsiTheme="majorHAnsi"/>
          <w:sz w:val="20"/>
          <w:szCs w:val="20"/>
        </w:rPr>
        <w:t>The studies led</w:t>
      </w:r>
      <w:r w:rsidR="00480297" w:rsidRPr="005A368A">
        <w:rPr>
          <w:rFonts w:asciiTheme="majorHAnsi" w:hAnsiTheme="majorHAnsi"/>
          <w:sz w:val="20"/>
          <w:szCs w:val="20"/>
        </w:rPr>
        <w:t xml:space="preserve"> to a conclusion that </w:t>
      </w:r>
      <w:r w:rsidR="00282D6B" w:rsidRPr="005A368A">
        <w:rPr>
          <w:rFonts w:asciiTheme="majorHAnsi" w:hAnsiTheme="majorHAnsi"/>
          <w:sz w:val="20"/>
          <w:szCs w:val="20"/>
        </w:rPr>
        <w:t>t</w:t>
      </w:r>
      <w:r w:rsidR="00480297" w:rsidRPr="005A368A">
        <w:rPr>
          <w:rFonts w:asciiTheme="majorHAnsi" w:hAnsiTheme="majorHAnsi"/>
          <w:sz w:val="20"/>
          <w:szCs w:val="20"/>
        </w:rPr>
        <w:t xml:space="preserve">he burden attributable to SHS exposure is still substantial in the EU, mainly due to </w:t>
      </w:r>
      <w:r w:rsidR="00480297" w:rsidRPr="005A368A">
        <w:rPr>
          <w:rFonts w:asciiTheme="majorHAnsi" w:hAnsiTheme="majorHAnsi"/>
          <w:b/>
          <w:sz w:val="20"/>
          <w:szCs w:val="20"/>
        </w:rPr>
        <w:t>SHS exposure at home.</w:t>
      </w:r>
      <w:r w:rsidR="00480297" w:rsidRPr="005A368A">
        <w:rPr>
          <w:rFonts w:asciiTheme="majorHAnsi" w:hAnsiTheme="majorHAnsi"/>
          <w:sz w:val="20"/>
          <w:szCs w:val="20"/>
        </w:rPr>
        <w:t xml:space="preserve"> </w:t>
      </w:r>
      <w:r w:rsidR="00C153F7" w:rsidRPr="005A368A">
        <w:rPr>
          <w:rFonts w:asciiTheme="majorHAnsi" w:hAnsiTheme="majorHAnsi"/>
          <w:sz w:val="20"/>
          <w:szCs w:val="20"/>
        </w:rPr>
        <w:t xml:space="preserve"> Only in 2017</w:t>
      </w:r>
      <w:r w:rsidRPr="005A368A">
        <w:rPr>
          <w:rFonts w:asciiTheme="majorHAnsi" w:hAnsiTheme="majorHAnsi"/>
          <w:sz w:val="20"/>
          <w:szCs w:val="20"/>
        </w:rPr>
        <w:t>,</w:t>
      </w:r>
      <w:r w:rsidR="00C153F7" w:rsidRPr="005A368A">
        <w:rPr>
          <w:rFonts w:asciiTheme="majorHAnsi" w:hAnsiTheme="majorHAnsi"/>
          <w:sz w:val="20"/>
          <w:szCs w:val="20"/>
        </w:rPr>
        <w:t xml:space="preserve"> among</w:t>
      </w:r>
      <w:r w:rsidR="00B17946" w:rsidRPr="005A368A">
        <w:rPr>
          <w:rFonts w:asciiTheme="majorHAnsi" w:hAnsiTheme="majorHAnsi"/>
          <w:sz w:val="20"/>
          <w:szCs w:val="20"/>
        </w:rPr>
        <w:t xml:space="preserve"> children aged 0-14 years, exposure to SHS </w:t>
      </w:r>
      <w:r w:rsidR="00B17946" w:rsidRPr="005A368A">
        <w:rPr>
          <w:rFonts w:asciiTheme="majorHAnsi" w:hAnsiTheme="majorHAnsi"/>
          <w:b/>
          <w:bCs/>
          <w:sz w:val="20"/>
          <w:szCs w:val="20"/>
        </w:rPr>
        <w:t xml:space="preserve">at home </w:t>
      </w:r>
      <w:r w:rsidR="00B17946" w:rsidRPr="005A368A">
        <w:rPr>
          <w:rFonts w:asciiTheme="majorHAnsi" w:hAnsiTheme="majorHAnsi"/>
          <w:sz w:val="20"/>
          <w:szCs w:val="20"/>
        </w:rPr>
        <w:t xml:space="preserve">was associated with 344 deaths (1.5% of total deaths in children) and 37,000 disability-adjusted life years (0.75% of total DALYs), whereas in non-smoking adults it was responsible of 30,000 deaths (0.6% of total deaths) and 712,000 DALYs (0.5% of total DALYs). </w:t>
      </w:r>
    </w:p>
    <w:p w14:paraId="3B4819C7" w14:textId="78763B41" w:rsidR="00B17946" w:rsidRPr="005A368A" w:rsidRDefault="00C153F7" w:rsidP="00331F12">
      <w:pPr>
        <w:spacing w:before="120"/>
        <w:jc w:val="both"/>
        <w:rPr>
          <w:rFonts w:asciiTheme="majorHAnsi" w:hAnsiTheme="majorHAnsi"/>
          <w:sz w:val="20"/>
          <w:szCs w:val="20"/>
        </w:rPr>
      </w:pPr>
      <w:r w:rsidRPr="005A368A">
        <w:rPr>
          <w:rFonts w:asciiTheme="majorHAnsi" w:hAnsiTheme="majorHAnsi"/>
          <w:sz w:val="20"/>
          <w:szCs w:val="20"/>
        </w:rPr>
        <w:t>Furthermore, t</w:t>
      </w:r>
      <w:r w:rsidR="00B17946" w:rsidRPr="005A368A">
        <w:rPr>
          <w:rFonts w:asciiTheme="majorHAnsi" w:hAnsiTheme="majorHAnsi"/>
          <w:sz w:val="20"/>
          <w:szCs w:val="20"/>
        </w:rPr>
        <w:t xml:space="preserve">he </w:t>
      </w:r>
      <w:r w:rsidR="00B17946" w:rsidRPr="005A368A">
        <w:rPr>
          <w:rFonts w:asciiTheme="majorHAnsi" w:hAnsiTheme="majorHAnsi"/>
          <w:b/>
          <w:sz w:val="20"/>
          <w:szCs w:val="20"/>
        </w:rPr>
        <w:t>annual cost</w:t>
      </w:r>
      <w:r w:rsidR="00B17946" w:rsidRPr="005A368A">
        <w:rPr>
          <w:rFonts w:asciiTheme="majorHAnsi" w:hAnsiTheme="majorHAnsi"/>
          <w:sz w:val="20"/>
          <w:szCs w:val="20"/>
        </w:rPr>
        <w:t xml:space="preserve"> of lost DALYs due to exposure to SHS is </w:t>
      </w:r>
      <w:r w:rsidR="00B17946" w:rsidRPr="005A368A">
        <w:rPr>
          <w:rFonts w:asciiTheme="majorHAnsi" w:hAnsiTheme="majorHAnsi"/>
          <w:b/>
          <w:sz w:val="20"/>
          <w:szCs w:val="20"/>
        </w:rPr>
        <w:t>356 million</w:t>
      </w:r>
      <w:r w:rsidR="00B17946" w:rsidRPr="005A368A">
        <w:rPr>
          <w:rFonts w:asciiTheme="majorHAnsi" w:hAnsiTheme="majorHAnsi"/>
          <w:sz w:val="20"/>
          <w:szCs w:val="20"/>
        </w:rPr>
        <w:t xml:space="preserve"> (of Purchasing Power Parity Adjusted euro of year 2017) on average in the EU 28 Member States. Differences around this average value a</w:t>
      </w:r>
      <w:r w:rsidR="006045DF" w:rsidRPr="005A368A">
        <w:rPr>
          <w:rFonts w:asciiTheme="majorHAnsi" w:hAnsiTheme="majorHAnsi"/>
          <w:sz w:val="20"/>
          <w:szCs w:val="20"/>
        </w:rPr>
        <w:t>re substantial. Germany is the Member S</w:t>
      </w:r>
      <w:r w:rsidR="00B17946" w:rsidRPr="005A368A">
        <w:rPr>
          <w:rFonts w:asciiTheme="majorHAnsi" w:hAnsiTheme="majorHAnsi"/>
          <w:sz w:val="20"/>
          <w:szCs w:val="20"/>
        </w:rPr>
        <w:t>tate with the highest losses (1694.69 million euro) and Malta (10.55 million euro) with the lowest ones. Such differences reflect mostly differences in population size but also differences in the prevalence of exposure to SHS.</w:t>
      </w:r>
    </w:p>
    <w:p w14:paraId="79ED74C9" w14:textId="69093300" w:rsidR="00D656A9" w:rsidRPr="005A368A" w:rsidRDefault="00B17946" w:rsidP="00331F12">
      <w:pPr>
        <w:spacing w:before="120"/>
        <w:jc w:val="both"/>
        <w:rPr>
          <w:rFonts w:asciiTheme="majorHAnsi" w:hAnsiTheme="majorHAnsi"/>
          <w:sz w:val="20"/>
          <w:szCs w:val="20"/>
        </w:rPr>
      </w:pPr>
      <w:r w:rsidRPr="005A368A">
        <w:rPr>
          <w:rFonts w:asciiTheme="majorHAnsi" w:hAnsiTheme="majorHAnsi"/>
          <w:sz w:val="20"/>
          <w:szCs w:val="20"/>
        </w:rPr>
        <w:t xml:space="preserve">Economic simulation </w:t>
      </w:r>
      <w:r w:rsidR="00C153F7" w:rsidRPr="005A368A">
        <w:rPr>
          <w:rFonts w:asciiTheme="majorHAnsi" w:hAnsiTheme="majorHAnsi"/>
          <w:sz w:val="20"/>
          <w:szCs w:val="20"/>
        </w:rPr>
        <w:t>modeling</w:t>
      </w:r>
      <w:r w:rsidRPr="005A368A">
        <w:rPr>
          <w:rFonts w:asciiTheme="majorHAnsi" w:hAnsiTheme="majorHAnsi"/>
          <w:sz w:val="20"/>
          <w:szCs w:val="20"/>
        </w:rPr>
        <w:t xml:space="preserve"> predicted that, over 2020-2024, a scenario of complete </w:t>
      </w:r>
      <w:r w:rsidRPr="005A368A">
        <w:rPr>
          <w:rFonts w:asciiTheme="majorHAnsi" w:hAnsiTheme="majorHAnsi"/>
          <w:b/>
          <w:sz w:val="20"/>
          <w:szCs w:val="20"/>
        </w:rPr>
        <w:t>“smoke-free homes”</w:t>
      </w:r>
      <w:r w:rsidRPr="005A368A">
        <w:rPr>
          <w:rFonts w:asciiTheme="majorHAnsi" w:hAnsiTheme="majorHAnsi"/>
          <w:sz w:val="20"/>
          <w:szCs w:val="20"/>
        </w:rPr>
        <w:t xml:space="preserve"> would generate </w:t>
      </w:r>
      <w:r w:rsidRPr="005A368A">
        <w:rPr>
          <w:rFonts w:asciiTheme="majorHAnsi" w:hAnsiTheme="majorHAnsi"/>
          <w:b/>
          <w:sz w:val="20"/>
          <w:szCs w:val="20"/>
        </w:rPr>
        <w:t>health care cost reductions</w:t>
      </w:r>
      <w:r w:rsidRPr="005A368A">
        <w:rPr>
          <w:rFonts w:asciiTheme="majorHAnsi" w:hAnsiTheme="majorHAnsi"/>
          <w:sz w:val="20"/>
          <w:szCs w:val="20"/>
        </w:rPr>
        <w:t xml:space="preserve"> ranging from 40 million euro in Bulgaria to over 200 Million euros in Germany. In a scenario of no SHS exposure at all, health care cost savings would be substantially higher, reaching for example </w:t>
      </w:r>
      <w:r w:rsidR="007A4DD1" w:rsidRPr="005A368A">
        <w:rPr>
          <w:rFonts w:asciiTheme="majorHAnsi" w:hAnsiTheme="majorHAnsi"/>
          <w:sz w:val="20"/>
          <w:szCs w:val="20"/>
        </w:rPr>
        <w:t>800 million euro only for</w:t>
      </w:r>
      <w:r w:rsidRPr="005A368A">
        <w:rPr>
          <w:rFonts w:asciiTheme="majorHAnsi" w:hAnsiTheme="majorHAnsi"/>
          <w:sz w:val="20"/>
          <w:szCs w:val="20"/>
        </w:rPr>
        <w:t xml:space="preserve"> Germany</w:t>
      </w:r>
      <w:r w:rsidR="007A4DD1" w:rsidRPr="005A368A">
        <w:rPr>
          <w:rFonts w:asciiTheme="majorHAnsi" w:hAnsiTheme="majorHAnsi"/>
          <w:sz w:val="20"/>
          <w:szCs w:val="20"/>
        </w:rPr>
        <w:t>.</w:t>
      </w:r>
    </w:p>
    <w:p w14:paraId="77E0CE03" w14:textId="4FAADA52" w:rsidR="006045DF" w:rsidRPr="005A368A" w:rsidRDefault="007A4DD1" w:rsidP="00331F12">
      <w:pPr>
        <w:spacing w:before="120"/>
        <w:jc w:val="both"/>
        <w:rPr>
          <w:rFonts w:asciiTheme="majorHAnsi" w:hAnsiTheme="majorHAnsi"/>
          <w:sz w:val="20"/>
          <w:szCs w:val="20"/>
        </w:rPr>
      </w:pPr>
      <w:r w:rsidRPr="005A368A">
        <w:rPr>
          <w:rFonts w:asciiTheme="majorHAnsi" w:hAnsiTheme="majorHAnsi"/>
          <w:sz w:val="20"/>
          <w:szCs w:val="20"/>
        </w:rPr>
        <w:t>With regards to electronic cigarette use</w:t>
      </w:r>
      <w:r w:rsidR="00331F12">
        <w:rPr>
          <w:rFonts w:asciiTheme="majorHAnsi" w:hAnsiTheme="majorHAnsi"/>
          <w:sz w:val="20"/>
          <w:szCs w:val="20"/>
        </w:rPr>
        <w:t xml:space="preserve"> and exposure to their aerosols</w:t>
      </w:r>
      <w:r w:rsidRPr="005A368A">
        <w:rPr>
          <w:rFonts w:asciiTheme="majorHAnsi" w:hAnsiTheme="majorHAnsi"/>
          <w:sz w:val="20"/>
          <w:szCs w:val="20"/>
        </w:rPr>
        <w:t xml:space="preserve">, the analysis demonstrated </w:t>
      </w:r>
      <w:r w:rsidR="006045DF" w:rsidRPr="005A368A">
        <w:rPr>
          <w:rFonts w:asciiTheme="majorHAnsi" w:hAnsiTheme="majorHAnsi"/>
          <w:sz w:val="20"/>
          <w:szCs w:val="20"/>
        </w:rPr>
        <w:t xml:space="preserve">that the prevalence </w:t>
      </w:r>
      <w:r w:rsidR="005D1A36">
        <w:rPr>
          <w:rFonts w:asciiTheme="majorHAnsi" w:hAnsiTheme="majorHAnsi"/>
          <w:sz w:val="20"/>
          <w:szCs w:val="20"/>
        </w:rPr>
        <w:t xml:space="preserve">of use </w:t>
      </w:r>
      <w:r w:rsidR="006045DF" w:rsidRPr="005A368A">
        <w:rPr>
          <w:rFonts w:asciiTheme="majorHAnsi" w:hAnsiTheme="majorHAnsi"/>
          <w:sz w:val="20"/>
          <w:szCs w:val="20"/>
        </w:rPr>
        <w:t xml:space="preserve">is low and diverse in Europe, more frequent </w:t>
      </w:r>
      <w:r w:rsidR="006045DF" w:rsidRPr="005A368A">
        <w:rPr>
          <w:rFonts w:asciiTheme="majorHAnsi" w:hAnsiTheme="majorHAnsi"/>
          <w:b/>
          <w:sz w:val="20"/>
          <w:szCs w:val="20"/>
        </w:rPr>
        <w:t>among youth</w:t>
      </w:r>
      <w:r w:rsidR="006045DF" w:rsidRPr="005A368A">
        <w:rPr>
          <w:rFonts w:asciiTheme="majorHAnsi" w:hAnsiTheme="majorHAnsi"/>
          <w:sz w:val="20"/>
          <w:szCs w:val="20"/>
        </w:rPr>
        <w:t xml:space="preserve"> and usually concurrent with traditional cigarette smoking. The tests confirmed that electronic cigarette use </w:t>
      </w:r>
      <w:r w:rsidR="006045DF" w:rsidRPr="005A368A">
        <w:rPr>
          <w:rFonts w:asciiTheme="majorHAnsi" w:hAnsiTheme="majorHAnsi"/>
          <w:b/>
          <w:sz w:val="20"/>
          <w:szCs w:val="20"/>
        </w:rPr>
        <w:t>impairs air quality</w:t>
      </w:r>
      <w:r w:rsidR="006045DF" w:rsidRPr="005A368A">
        <w:rPr>
          <w:rFonts w:asciiTheme="majorHAnsi" w:hAnsiTheme="majorHAnsi"/>
          <w:sz w:val="20"/>
          <w:szCs w:val="20"/>
        </w:rPr>
        <w:t xml:space="preserve"> with particulate matter, nicotine, volatile organic compounds, </w:t>
      </w:r>
      <w:r w:rsidR="00331F12">
        <w:rPr>
          <w:rFonts w:asciiTheme="majorHAnsi" w:hAnsiTheme="majorHAnsi"/>
          <w:sz w:val="20"/>
          <w:szCs w:val="20"/>
        </w:rPr>
        <w:t>among others</w:t>
      </w:r>
      <w:r w:rsidR="006045DF" w:rsidRPr="005A368A">
        <w:rPr>
          <w:rFonts w:asciiTheme="majorHAnsi" w:hAnsiTheme="majorHAnsi"/>
          <w:sz w:val="20"/>
          <w:szCs w:val="20"/>
        </w:rPr>
        <w:t xml:space="preserve">; while individuals exposed to electronic cigarettes aerosol showed </w:t>
      </w:r>
      <w:r w:rsidR="006045DF" w:rsidRPr="005A368A">
        <w:rPr>
          <w:rFonts w:asciiTheme="majorHAnsi" w:hAnsiTheme="majorHAnsi"/>
          <w:b/>
          <w:sz w:val="20"/>
          <w:szCs w:val="20"/>
        </w:rPr>
        <w:t>immediate alterations of their lung function</w:t>
      </w:r>
      <w:r w:rsidR="006045DF" w:rsidRPr="005A368A">
        <w:rPr>
          <w:rFonts w:asciiTheme="majorHAnsi" w:hAnsiTheme="majorHAnsi"/>
          <w:sz w:val="20"/>
          <w:szCs w:val="20"/>
        </w:rPr>
        <w:t xml:space="preserve"> (respiratory mechanics and exhaled biomarkers) and experienced </w:t>
      </w:r>
      <w:r w:rsidR="006045DF" w:rsidRPr="005A368A">
        <w:rPr>
          <w:rFonts w:asciiTheme="majorHAnsi" w:hAnsiTheme="majorHAnsi"/>
          <w:b/>
          <w:sz w:val="20"/>
          <w:szCs w:val="20"/>
        </w:rPr>
        <w:t>symptoms of eye, nose and throat irritation.</w:t>
      </w:r>
    </w:p>
    <w:p w14:paraId="7751D092" w14:textId="3BD5F95E" w:rsidR="007A4DD1" w:rsidRPr="005A368A" w:rsidRDefault="007A4DD1" w:rsidP="00331F12">
      <w:pPr>
        <w:spacing w:before="120"/>
        <w:jc w:val="both"/>
        <w:rPr>
          <w:rFonts w:asciiTheme="majorHAnsi" w:hAnsiTheme="majorHAnsi"/>
          <w:sz w:val="20"/>
          <w:szCs w:val="20"/>
        </w:rPr>
      </w:pPr>
      <w:r w:rsidRPr="005A368A">
        <w:rPr>
          <w:rFonts w:asciiTheme="majorHAnsi" w:hAnsiTheme="majorHAnsi"/>
          <w:sz w:val="20"/>
          <w:szCs w:val="20"/>
        </w:rPr>
        <w:t xml:space="preserve">During the Conference, Prof. Esteve Fernández and </w:t>
      </w:r>
      <w:r w:rsidR="00620DDC" w:rsidRPr="005A368A">
        <w:rPr>
          <w:rFonts w:asciiTheme="majorHAnsi" w:hAnsiTheme="majorHAnsi"/>
          <w:sz w:val="20"/>
          <w:szCs w:val="20"/>
        </w:rPr>
        <w:t xml:space="preserve">Prof. </w:t>
      </w:r>
      <w:r w:rsidRPr="005A368A">
        <w:rPr>
          <w:rFonts w:asciiTheme="majorHAnsi" w:hAnsiTheme="majorHAnsi"/>
          <w:sz w:val="20"/>
          <w:szCs w:val="20"/>
        </w:rPr>
        <w:t xml:space="preserve">Constantine Vardavas </w:t>
      </w:r>
      <w:r w:rsidR="00620DDC" w:rsidRPr="005A368A">
        <w:rPr>
          <w:rFonts w:asciiTheme="majorHAnsi" w:hAnsiTheme="majorHAnsi"/>
          <w:sz w:val="20"/>
          <w:szCs w:val="20"/>
        </w:rPr>
        <w:t xml:space="preserve">(GACD Lung Diseases Programme Co-Chair) </w:t>
      </w:r>
      <w:r w:rsidRPr="005A368A">
        <w:rPr>
          <w:rFonts w:asciiTheme="majorHAnsi" w:hAnsiTheme="majorHAnsi"/>
          <w:sz w:val="20"/>
          <w:szCs w:val="20"/>
        </w:rPr>
        <w:t xml:space="preserve">addressed the above-mentioned numbers from the policy prospective. So much loss in precious human lives, including children, preventable health conditions and economic burden could be evaded and, hopefully, will be </w:t>
      </w:r>
      <w:r w:rsidR="006045DF" w:rsidRPr="005A368A">
        <w:rPr>
          <w:rFonts w:asciiTheme="majorHAnsi" w:hAnsiTheme="majorHAnsi"/>
          <w:sz w:val="20"/>
          <w:szCs w:val="20"/>
        </w:rPr>
        <w:t>by committed and coordinated actions of nati</w:t>
      </w:r>
      <w:r w:rsidR="00BD0DD0" w:rsidRPr="005A368A">
        <w:rPr>
          <w:rFonts w:asciiTheme="majorHAnsi" w:hAnsiTheme="majorHAnsi"/>
          <w:sz w:val="20"/>
          <w:szCs w:val="20"/>
        </w:rPr>
        <w:t>onal and European policy-makers. Project Consortium suggests the following measures for urg</w:t>
      </w:r>
      <w:r w:rsidR="001F3387" w:rsidRPr="005A368A">
        <w:rPr>
          <w:rFonts w:asciiTheme="majorHAnsi" w:hAnsiTheme="majorHAnsi"/>
          <w:sz w:val="20"/>
          <w:szCs w:val="20"/>
        </w:rPr>
        <w:t>ent consideration of the govern</w:t>
      </w:r>
      <w:r w:rsidR="00BD0DD0" w:rsidRPr="005A368A">
        <w:rPr>
          <w:rFonts w:asciiTheme="majorHAnsi" w:hAnsiTheme="majorHAnsi"/>
          <w:sz w:val="20"/>
          <w:szCs w:val="20"/>
        </w:rPr>
        <w:t>m</w:t>
      </w:r>
      <w:r w:rsidR="001F3387" w:rsidRPr="005A368A">
        <w:rPr>
          <w:rFonts w:asciiTheme="majorHAnsi" w:hAnsiTheme="majorHAnsi"/>
          <w:sz w:val="20"/>
          <w:szCs w:val="20"/>
        </w:rPr>
        <w:t>e</w:t>
      </w:r>
      <w:r w:rsidR="00BD0DD0" w:rsidRPr="005A368A">
        <w:rPr>
          <w:rFonts w:asciiTheme="majorHAnsi" w:hAnsiTheme="majorHAnsi"/>
          <w:sz w:val="20"/>
          <w:szCs w:val="20"/>
        </w:rPr>
        <w:t>nts:</w:t>
      </w:r>
    </w:p>
    <w:p w14:paraId="19E952B2" w14:textId="77777777" w:rsidR="006045DF" w:rsidRPr="005A368A" w:rsidRDefault="006045DF" w:rsidP="000466C0">
      <w:pPr>
        <w:jc w:val="both"/>
        <w:rPr>
          <w:rFonts w:asciiTheme="majorHAnsi" w:hAnsiTheme="majorHAnsi"/>
          <w:sz w:val="20"/>
          <w:szCs w:val="20"/>
        </w:rPr>
      </w:pPr>
    </w:p>
    <w:p w14:paraId="2B0FA6DD" w14:textId="77777777" w:rsidR="004C225F" w:rsidRPr="005A368A" w:rsidRDefault="00720113" w:rsidP="004C225F">
      <w:pPr>
        <w:pStyle w:val="ListParagraph"/>
        <w:numPr>
          <w:ilvl w:val="0"/>
          <w:numId w:val="1"/>
        </w:numPr>
        <w:jc w:val="both"/>
        <w:rPr>
          <w:rFonts w:asciiTheme="majorHAnsi" w:hAnsiTheme="majorHAnsi"/>
          <w:i/>
          <w:sz w:val="20"/>
          <w:szCs w:val="20"/>
        </w:rPr>
      </w:pPr>
      <w:r w:rsidRPr="005A368A">
        <w:rPr>
          <w:rFonts w:asciiTheme="majorHAnsi" w:hAnsiTheme="majorHAnsi"/>
          <w:i/>
          <w:sz w:val="20"/>
          <w:szCs w:val="20"/>
        </w:rPr>
        <w:t>Comprehensive policies and interventions to tackle tobacco consumption continue to be necessary with targeting of specific populations groups with higher prevalence rates</w:t>
      </w:r>
      <w:r w:rsidR="004C225F" w:rsidRPr="005A368A">
        <w:rPr>
          <w:rFonts w:asciiTheme="majorHAnsi" w:hAnsiTheme="majorHAnsi"/>
          <w:i/>
          <w:sz w:val="20"/>
          <w:szCs w:val="20"/>
        </w:rPr>
        <w:t xml:space="preserve">. </w:t>
      </w:r>
    </w:p>
    <w:p w14:paraId="3B0ECEDD" w14:textId="77777777" w:rsidR="00BD0DD0" w:rsidRPr="005A368A" w:rsidRDefault="00720113" w:rsidP="000466C0">
      <w:pPr>
        <w:pStyle w:val="ListParagraph"/>
        <w:numPr>
          <w:ilvl w:val="0"/>
          <w:numId w:val="1"/>
        </w:numPr>
        <w:jc w:val="both"/>
        <w:rPr>
          <w:rFonts w:asciiTheme="majorHAnsi" w:hAnsiTheme="majorHAnsi"/>
          <w:i/>
          <w:sz w:val="20"/>
          <w:szCs w:val="20"/>
        </w:rPr>
      </w:pPr>
      <w:r w:rsidRPr="005A368A">
        <w:rPr>
          <w:rFonts w:asciiTheme="majorHAnsi" w:hAnsiTheme="majorHAnsi"/>
          <w:i/>
          <w:sz w:val="20"/>
          <w:szCs w:val="20"/>
        </w:rPr>
        <w:t xml:space="preserve">Increased monitoring and enforcement of smoke-free legislation is necessary, especially in workplaces and hospitality venues. </w:t>
      </w:r>
    </w:p>
    <w:p w14:paraId="62E61AC2" w14:textId="4222C7C1" w:rsidR="004C225F" w:rsidRPr="005A368A" w:rsidRDefault="00720113" w:rsidP="000466C0">
      <w:pPr>
        <w:pStyle w:val="ListParagraph"/>
        <w:numPr>
          <w:ilvl w:val="0"/>
          <w:numId w:val="1"/>
        </w:numPr>
        <w:jc w:val="both"/>
        <w:rPr>
          <w:rFonts w:asciiTheme="majorHAnsi" w:hAnsiTheme="majorHAnsi"/>
          <w:i/>
          <w:sz w:val="20"/>
          <w:szCs w:val="20"/>
        </w:rPr>
      </w:pPr>
      <w:r w:rsidRPr="005A368A">
        <w:rPr>
          <w:rFonts w:asciiTheme="majorHAnsi" w:hAnsiTheme="majorHAnsi"/>
          <w:i/>
          <w:sz w:val="20"/>
          <w:szCs w:val="20"/>
        </w:rPr>
        <w:t>Smoke-free legislation should be extended to outdoor areas (terraces, playgrounds, entrances) to discourage smokers, protect bystanders (including specific groups such as children and patients with lung chronic conditions), and to increase public awareness.</w:t>
      </w:r>
      <w:bookmarkStart w:id="1" w:name="OLE_LINK3"/>
      <w:bookmarkStart w:id="2" w:name="OLE_LINK4"/>
    </w:p>
    <w:p w14:paraId="68040FB1" w14:textId="7ABA78A6" w:rsidR="004C225F" w:rsidRPr="005A368A" w:rsidRDefault="00720113" w:rsidP="000466C0">
      <w:pPr>
        <w:pStyle w:val="ListParagraph"/>
        <w:numPr>
          <w:ilvl w:val="0"/>
          <w:numId w:val="1"/>
        </w:numPr>
        <w:jc w:val="both"/>
        <w:rPr>
          <w:rFonts w:asciiTheme="majorHAnsi" w:hAnsiTheme="majorHAnsi"/>
          <w:i/>
          <w:sz w:val="20"/>
          <w:szCs w:val="20"/>
        </w:rPr>
      </w:pPr>
      <w:r w:rsidRPr="005A368A">
        <w:rPr>
          <w:rFonts w:asciiTheme="majorHAnsi" w:hAnsiTheme="majorHAnsi"/>
          <w:i/>
          <w:sz w:val="20"/>
          <w:szCs w:val="20"/>
        </w:rPr>
        <w:t>Smoke-free homes should be promoted through evidence-based interventions at multiple levels</w:t>
      </w:r>
      <w:bookmarkEnd w:id="1"/>
      <w:bookmarkEnd w:id="2"/>
      <w:r w:rsidR="00BD0DD0" w:rsidRPr="005A368A">
        <w:rPr>
          <w:rFonts w:asciiTheme="majorHAnsi" w:hAnsiTheme="majorHAnsi"/>
          <w:i/>
          <w:sz w:val="20"/>
          <w:szCs w:val="20"/>
        </w:rPr>
        <w:t>.</w:t>
      </w:r>
    </w:p>
    <w:p w14:paraId="37E95CA9" w14:textId="5EB375A8" w:rsidR="004C225F" w:rsidRPr="005A368A" w:rsidRDefault="00720113" w:rsidP="000466C0">
      <w:pPr>
        <w:pStyle w:val="ListParagraph"/>
        <w:numPr>
          <w:ilvl w:val="0"/>
          <w:numId w:val="1"/>
        </w:numPr>
        <w:jc w:val="both"/>
        <w:rPr>
          <w:rFonts w:asciiTheme="majorHAnsi" w:hAnsiTheme="majorHAnsi"/>
          <w:i/>
          <w:sz w:val="20"/>
          <w:szCs w:val="20"/>
        </w:rPr>
      </w:pPr>
      <w:r w:rsidRPr="005A368A">
        <w:rPr>
          <w:rFonts w:asciiTheme="majorHAnsi" w:hAnsiTheme="majorHAnsi"/>
          <w:i/>
          <w:sz w:val="20"/>
          <w:szCs w:val="20"/>
        </w:rPr>
        <w:t>European governments should set national targets to reduce the proportion of children exposed to SHS</w:t>
      </w:r>
      <w:r w:rsidR="00BD0DD0" w:rsidRPr="005A368A">
        <w:rPr>
          <w:rFonts w:asciiTheme="majorHAnsi" w:hAnsiTheme="majorHAnsi"/>
          <w:i/>
          <w:sz w:val="20"/>
          <w:szCs w:val="20"/>
        </w:rPr>
        <w:t>.</w:t>
      </w:r>
    </w:p>
    <w:p w14:paraId="0294497B" w14:textId="25B5A9E4" w:rsidR="00720113" w:rsidRPr="005A368A" w:rsidRDefault="00720113" w:rsidP="000466C0">
      <w:pPr>
        <w:pStyle w:val="ListParagraph"/>
        <w:numPr>
          <w:ilvl w:val="0"/>
          <w:numId w:val="1"/>
        </w:numPr>
        <w:jc w:val="both"/>
        <w:rPr>
          <w:rFonts w:asciiTheme="majorHAnsi" w:hAnsiTheme="majorHAnsi"/>
          <w:i/>
          <w:sz w:val="20"/>
          <w:szCs w:val="20"/>
        </w:rPr>
      </w:pPr>
      <w:r w:rsidRPr="005A368A">
        <w:rPr>
          <w:rFonts w:asciiTheme="majorHAnsi" w:hAnsiTheme="majorHAnsi"/>
          <w:i/>
          <w:sz w:val="20"/>
          <w:szCs w:val="20"/>
        </w:rPr>
        <w:t>European governments should introduce smoke-free policies to regulate smoking inside private cars</w:t>
      </w:r>
      <w:r w:rsidR="00BD0DD0" w:rsidRPr="005A368A">
        <w:rPr>
          <w:rFonts w:asciiTheme="majorHAnsi" w:hAnsiTheme="majorHAnsi"/>
          <w:i/>
          <w:sz w:val="20"/>
          <w:szCs w:val="20"/>
        </w:rPr>
        <w:t>.</w:t>
      </w:r>
    </w:p>
    <w:p w14:paraId="2D6C0D9E" w14:textId="5DAC1C10" w:rsidR="004C225F" w:rsidRPr="005A368A" w:rsidRDefault="00720113" w:rsidP="004C225F">
      <w:pPr>
        <w:pStyle w:val="ListParagraph"/>
        <w:numPr>
          <w:ilvl w:val="0"/>
          <w:numId w:val="1"/>
        </w:numPr>
        <w:jc w:val="both"/>
        <w:rPr>
          <w:rFonts w:asciiTheme="majorHAnsi" w:hAnsiTheme="majorHAnsi"/>
          <w:i/>
          <w:sz w:val="20"/>
          <w:szCs w:val="20"/>
        </w:rPr>
      </w:pPr>
      <w:bookmarkStart w:id="3" w:name="OLE_LINK7"/>
      <w:bookmarkStart w:id="4" w:name="OLE_LINK8"/>
      <w:r w:rsidRPr="005A368A">
        <w:rPr>
          <w:rFonts w:asciiTheme="majorHAnsi" w:hAnsiTheme="majorHAnsi"/>
          <w:i/>
          <w:sz w:val="20"/>
          <w:szCs w:val="20"/>
        </w:rPr>
        <w:t>To protect bystanders from secondhand aerosols from electronic cigarettes, policies to restrict their use in enclosed public spaces should be introduced</w:t>
      </w:r>
      <w:bookmarkEnd w:id="3"/>
      <w:bookmarkEnd w:id="4"/>
      <w:r w:rsidRPr="005A368A">
        <w:rPr>
          <w:rFonts w:asciiTheme="majorHAnsi" w:hAnsiTheme="majorHAnsi"/>
          <w:i/>
          <w:sz w:val="20"/>
          <w:szCs w:val="20"/>
        </w:rPr>
        <w:t xml:space="preserve">. </w:t>
      </w:r>
    </w:p>
    <w:p w14:paraId="0DD39A46" w14:textId="38B45F58" w:rsidR="00720113" w:rsidRPr="005A368A" w:rsidRDefault="00720113" w:rsidP="004C225F">
      <w:pPr>
        <w:pStyle w:val="ListParagraph"/>
        <w:numPr>
          <w:ilvl w:val="0"/>
          <w:numId w:val="1"/>
        </w:numPr>
        <w:jc w:val="both"/>
        <w:rPr>
          <w:rFonts w:asciiTheme="majorHAnsi" w:hAnsiTheme="majorHAnsi"/>
          <w:i/>
          <w:sz w:val="20"/>
          <w:szCs w:val="20"/>
        </w:rPr>
      </w:pPr>
      <w:r w:rsidRPr="005A368A">
        <w:rPr>
          <w:rFonts w:asciiTheme="majorHAnsi" w:hAnsiTheme="majorHAnsi"/>
          <w:i/>
          <w:sz w:val="20"/>
          <w:szCs w:val="20"/>
        </w:rPr>
        <w:t>More research on the mid- and long-term effects of acute and chronic exposure to aerosols of electronic cigarettes by bystanders is needed, targeting specific population groups (children, patients with lung chronic diseases)</w:t>
      </w:r>
      <w:r w:rsidR="00BD0DD0" w:rsidRPr="005A368A">
        <w:rPr>
          <w:rFonts w:asciiTheme="majorHAnsi" w:hAnsiTheme="majorHAnsi"/>
          <w:i/>
          <w:sz w:val="20"/>
          <w:szCs w:val="20"/>
        </w:rPr>
        <w:t>.</w:t>
      </w:r>
    </w:p>
    <w:p w14:paraId="02754B8D" w14:textId="04D1F031" w:rsidR="00620DDC" w:rsidRPr="005A368A" w:rsidRDefault="00620DDC" w:rsidP="00331F12">
      <w:pPr>
        <w:widowControl w:val="0"/>
        <w:autoSpaceDE w:val="0"/>
        <w:autoSpaceDN w:val="0"/>
        <w:adjustRightInd w:val="0"/>
        <w:spacing w:before="120"/>
        <w:jc w:val="both"/>
        <w:rPr>
          <w:rFonts w:asciiTheme="majorHAnsi" w:hAnsiTheme="majorHAnsi"/>
          <w:sz w:val="20"/>
          <w:szCs w:val="20"/>
        </w:rPr>
      </w:pPr>
      <w:r w:rsidRPr="005A368A">
        <w:rPr>
          <w:rFonts w:asciiTheme="majorHAnsi" w:hAnsiTheme="majorHAnsi"/>
          <w:sz w:val="20"/>
          <w:szCs w:val="20"/>
        </w:rPr>
        <w:t>Closing speeches of Prof. Sally Haw (Professor of Public &amp; Population Health in Health Sciences Stirling, Univers</w:t>
      </w:r>
      <w:r w:rsidR="00BD0DD0" w:rsidRPr="005A368A">
        <w:rPr>
          <w:rFonts w:asciiTheme="majorHAnsi" w:hAnsiTheme="majorHAnsi"/>
          <w:sz w:val="20"/>
          <w:szCs w:val="20"/>
        </w:rPr>
        <w:t xml:space="preserve">ity of </w:t>
      </w:r>
      <w:r w:rsidR="00331F12" w:rsidRPr="005A368A">
        <w:rPr>
          <w:rFonts w:asciiTheme="majorHAnsi" w:hAnsiTheme="majorHAnsi"/>
          <w:sz w:val="20"/>
          <w:szCs w:val="20"/>
        </w:rPr>
        <w:t>Stirling</w:t>
      </w:r>
      <w:r w:rsidR="00BD0DD0" w:rsidRPr="005A368A">
        <w:rPr>
          <w:rFonts w:asciiTheme="majorHAnsi" w:hAnsiTheme="majorHAnsi"/>
          <w:sz w:val="20"/>
          <w:szCs w:val="20"/>
        </w:rPr>
        <w:t xml:space="preserve">) and Dr. Karim </w:t>
      </w:r>
      <w:r w:rsidRPr="005A368A">
        <w:rPr>
          <w:rFonts w:asciiTheme="majorHAnsi" w:hAnsiTheme="majorHAnsi"/>
          <w:sz w:val="20"/>
          <w:szCs w:val="20"/>
        </w:rPr>
        <w:t xml:space="preserve">Berkouk (Deputy Head of Unit, Unit “Combating diseases”, DG for Research and Innovation, </w:t>
      </w:r>
      <w:r w:rsidRPr="005A368A">
        <w:rPr>
          <w:rFonts w:asciiTheme="majorHAnsi" w:hAnsiTheme="majorHAnsi"/>
          <w:sz w:val="20"/>
          <w:szCs w:val="20"/>
        </w:rPr>
        <w:lastRenderedPageBreak/>
        <w:t xml:space="preserve">European Commission) focused on </w:t>
      </w:r>
      <w:r w:rsidR="000466C0" w:rsidRPr="005A368A">
        <w:rPr>
          <w:rFonts w:asciiTheme="majorHAnsi" w:hAnsiTheme="majorHAnsi"/>
          <w:sz w:val="20"/>
          <w:szCs w:val="20"/>
        </w:rPr>
        <w:t>the role and the future of research in this field</w:t>
      </w:r>
      <w:r w:rsidR="002417FE" w:rsidRPr="005A368A">
        <w:rPr>
          <w:rFonts w:asciiTheme="majorHAnsi" w:hAnsiTheme="majorHAnsi"/>
          <w:sz w:val="20"/>
          <w:szCs w:val="20"/>
        </w:rPr>
        <w:t>,</w:t>
      </w:r>
      <w:r w:rsidR="004556BF" w:rsidRPr="005A368A">
        <w:rPr>
          <w:rFonts w:asciiTheme="majorHAnsi" w:hAnsiTheme="majorHAnsi"/>
          <w:sz w:val="20"/>
          <w:szCs w:val="20"/>
        </w:rPr>
        <w:t xml:space="preserve"> </w:t>
      </w:r>
      <w:r w:rsidR="000466C0" w:rsidRPr="005A368A">
        <w:rPr>
          <w:rFonts w:asciiTheme="majorHAnsi" w:hAnsiTheme="majorHAnsi"/>
          <w:sz w:val="20"/>
          <w:szCs w:val="20"/>
        </w:rPr>
        <w:t xml:space="preserve">and </w:t>
      </w:r>
      <w:r w:rsidR="002417FE" w:rsidRPr="005A368A">
        <w:rPr>
          <w:rFonts w:asciiTheme="majorHAnsi" w:hAnsiTheme="majorHAnsi"/>
          <w:sz w:val="20"/>
          <w:szCs w:val="20"/>
        </w:rPr>
        <w:t xml:space="preserve">importance of research to combat tobacco-related NCDs </w:t>
      </w:r>
      <w:r w:rsidR="000466C0" w:rsidRPr="005A368A">
        <w:rPr>
          <w:rFonts w:asciiTheme="majorHAnsi" w:hAnsiTheme="majorHAnsi"/>
          <w:sz w:val="20"/>
          <w:szCs w:val="20"/>
        </w:rPr>
        <w:t xml:space="preserve">respectively, placing TackSHS in the broader picture </w:t>
      </w:r>
      <w:r w:rsidR="002417FE" w:rsidRPr="005A368A">
        <w:rPr>
          <w:rFonts w:asciiTheme="majorHAnsi" w:hAnsiTheme="majorHAnsi"/>
          <w:sz w:val="20"/>
          <w:szCs w:val="20"/>
        </w:rPr>
        <w:t>where it unites science and policy.</w:t>
      </w:r>
    </w:p>
    <w:p w14:paraId="536D67A6" w14:textId="36276057" w:rsidR="00620DDC" w:rsidRPr="005A368A" w:rsidRDefault="000466C0" w:rsidP="00331F12">
      <w:pPr>
        <w:widowControl w:val="0"/>
        <w:autoSpaceDE w:val="0"/>
        <w:autoSpaceDN w:val="0"/>
        <w:adjustRightInd w:val="0"/>
        <w:spacing w:before="120"/>
        <w:jc w:val="both"/>
        <w:rPr>
          <w:rFonts w:asciiTheme="majorHAnsi" w:hAnsiTheme="majorHAnsi"/>
          <w:sz w:val="20"/>
          <w:szCs w:val="20"/>
        </w:rPr>
      </w:pPr>
      <w:r w:rsidRPr="005A368A">
        <w:rPr>
          <w:rFonts w:asciiTheme="majorHAnsi" w:hAnsiTheme="majorHAnsi"/>
          <w:sz w:val="20"/>
          <w:szCs w:val="20"/>
        </w:rPr>
        <w:t>In the end, t</w:t>
      </w:r>
      <w:r w:rsidR="00620DDC" w:rsidRPr="005A368A">
        <w:rPr>
          <w:rFonts w:asciiTheme="majorHAnsi" w:hAnsiTheme="majorHAnsi"/>
          <w:sz w:val="20"/>
          <w:szCs w:val="20"/>
        </w:rPr>
        <w:t xml:space="preserve">he outcomes of TackSHS project </w:t>
      </w:r>
      <w:r w:rsidRPr="005A368A">
        <w:rPr>
          <w:rFonts w:asciiTheme="majorHAnsi" w:hAnsiTheme="majorHAnsi"/>
          <w:sz w:val="20"/>
          <w:szCs w:val="20"/>
        </w:rPr>
        <w:t xml:space="preserve">aim to </w:t>
      </w:r>
      <w:r w:rsidR="005D1A36">
        <w:rPr>
          <w:rFonts w:asciiTheme="majorHAnsi" w:hAnsiTheme="majorHAnsi"/>
          <w:sz w:val="20"/>
          <w:szCs w:val="20"/>
        </w:rPr>
        <w:t>serve</w:t>
      </w:r>
      <w:r w:rsidR="00620DDC" w:rsidRPr="005A368A">
        <w:rPr>
          <w:rFonts w:asciiTheme="majorHAnsi" w:hAnsiTheme="majorHAnsi"/>
          <w:sz w:val="20"/>
          <w:szCs w:val="20"/>
        </w:rPr>
        <w:t xml:space="preserve"> </w:t>
      </w:r>
      <w:r w:rsidRPr="005A368A">
        <w:rPr>
          <w:rFonts w:asciiTheme="majorHAnsi" w:hAnsiTheme="majorHAnsi"/>
          <w:sz w:val="20"/>
          <w:szCs w:val="20"/>
        </w:rPr>
        <w:t>as a solid base for addressing health inequalities caused by the use of conventional</w:t>
      </w:r>
      <w:r w:rsidR="002417FE" w:rsidRPr="005A368A">
        <w:rPr>
          <w:rFonts w:asciiTheme="majorHAnsi" w:hAnsiTheme="majorHAnsi"/>
          <w:sz w:val="20"/>
          <w:szCs w:val="20"/>
        </w:rPr>
        <w:t xml:space="preserve"> tobacco and </w:t>
      </w:r>
      <w:r w:rsidR="00720113" w:rsidRPr="005A368A">
        <w:rPr>
          <w:rFonts w:asciiTheme="majorHAnsi" w:hAnsiTheme="majorHAnsi"/>
          <w:sz w:val="20"/>
          <w:szCs w:val="20"/>
        </w:rPr>
        <w:t>electronic cigarettes</w:t>
      </w:r>
      <w:r w:rsidR="002417FE" w:rsidRPr="005A368A">
        <w:rPr>
          <w:rFonts w:asciiTheme="majorHAnsi" w:hAnsiTheme="majorHAnsi"/>
          <w:sz w:val="20"/>
          <w:szCs w:val="20"/>
        </w:rPr>
        <w:t>. TackSHS results</w:t>
      </w:r>
      <w:r w:rsidRPr="005A368A">
        <w:rPr>
          <w:rFonts w:asciiTheme="majorHAnsi" w:hAnsiTheme="majorHAnsi"/>
          <w:sz w:val="20"/>
          <w:szCs w:val="20"/>
        </w:rPr>
        <w:t xml:space="preserve"> provide scientific</w:t>
      </w:r>
      <w:r w:rsidR="002417FE" w:rsidRPr="005A368A">
        <w:rPr>
          <w:rFonts w:asciiTheme="majorHAnsi" w:hAnsiTheme="majorHAnsi"/>
          <w:sz w:val="20"/>
          <w:szCs w:val="20"/>
        </w:rPr>
        <w:t xml:space="preserve"> evidence much-needed to</w:t>
      </w:r>
      <w:r w:rsidRPr="005A368A">
        <w:rPr>
          <w:rFonts w:asciiTheme="majorHAnsi" w:hAnsiTheme="majorHAnsi"/>
          <w:sz w:val="20"/>
          <w:szCs w:val="20"/>
        </w:rPr>
        <w:t xml:space="preserve"> facilitate</w:t>
      </w:r>
      <w:r w:rsidR="00620DDC" w:rsidRPr="005A368A">
        <w:rPr>
          <w:rFonts w:asciiTheme="majorHAnsi" w:hAnsiTheme="majorHAnsi"/>
          <w:sz w:val="20"/>
          <w:szCs w:val="20"/>
        </w:rPr>
        <w:t xml:space="preserve"> </w:t>
      </w:r>
      <w:r w:rsidR="002417FE" w:rsidRPr="005A368A">
        <w:rPr>
          <w:rFonts w:asciiTheme="majorHAnsi" w:hAnsiTheme="majorHAnsi"/>
          <w:sz w:val="20"/>
          <w:szCs w:val="20"/>
        </w:rPr>
        <w:t xml:space="preserve">urgent </w:t>
      </w:r>
      <w:r w:rsidRPr="005A368A">
        <w:rPr>
          <w:rFonts w:asciiTheme="majorHAnsi" w:hAnsiTheme="majorHAnsi"/>
          <w:sz w:val="20"/>
          <w:szCs w:val="20"/>
        </w:rPr>
        <w:t xml:space="preserve">policy changes </w:t>
      </w:r>
      <w:r w:rsidR="002417FE" w:rsidRPr="005A368A">
        <w:rPr>
          <w:rFonts w:asciiTheme="majorHAnsi" w:hAnsiTheme="majorHAnsi"/>
          <w:sz w:val="20"/>
          <w:szCs w:val="20"/>
        </w:rPr>
        <w:t>such as closing legislation gaps</w:t>
      </w:r>
      <w:r w:rsidR="00720113" w:rsidRPr="005A368A">
        <w:rPr>
          <w:rFonts w:asciiTheme="majorHAnsi" w:hAnsiTheme="majorHAnsi"/>
          <w:sz w:val="20"/>
          <w:szCs w:val="20"/>
        </w:rPr>
        <w:t xml:space="preserve"> in regulation of novel and emerging products, while</w:t>
      </w:r>
      <w:r w:rsidRPr="005A368A">
        <w:rPr>
          <w:rFonts w:asciiTheme="majorHAnsi" w:hAnsiTheme="majorHAnsi"/>
          <w:sz w:val="20"/>
          <w:szCs w:val="20"/>
        </w:rPr>
        <w:t xml:space="preserve"> improving and strengthening comprehensive smoking bans</w:t>
      </w:r>
      <w:r w:rsidR="00620DDC" w:rsidRPr="005A368A">
        <w:rPr>
          <w:rFonts w:asciiTheme="majorHAnsi" w:hAnsiTheme="majorHAnsi"/>
          <w:sz w:val="20"/>
          <w:szCs w:val="20"/>
        </w:rPr>
        <w:t xml:space="preserve"> </w:t>
      </w:r>
      <w:r w:rsidR="002417FE" w:rsidRPr="005A368A">
        <w:rPr>
          <w:rFonts w:asciiTheme="majorHAnsi" w:hAnsiTheme="majorHAnsi"/>
          <w:sz w:val="20"/>
          <w:szCs w:val="20"/>
        </w:rPr>
        <w:t>in every EU Member State.</w:t>
      </w:r>
    </w:p>
    <w:p w14:paraId="0AC33FE9" w14:textId="77777777" w:rsidR="00620DDC" w:rsidRPr="005A368A" w:rsidRDefault="00620DDC" w:rsidP="00620DDC">
      <w:pPr>
        <w:jc w:val="both"/>
        <w:rPr>
          <w:rFonts w:asciiTheme="majorHAnsi" w:hAnsiTheme="majorHAnsi"/>
          <w:sz w:val="20"/>
          <w:szCs w:val="20"/>
        </w:rPr>
      </w:pPr>
    </w:p>
    <w:p w14:paraId="512B42C4" w14:textId="77777777" w:rsidR="00331F12" w:rsidRDefault="00331F12">
      <w:pPr>
        <w:rPr>
          <w:rFonts w:asciiTheme="majorHAnsi" w:hAnsiTheme="majorHAnsi"/>
          <w:b/>
        </w:rPr>
      </w:pPr>
      <w:r>
        <w:rPr>
          <w:rFonts w:asciiTheme="majorHAnsi" w:hAnsiTheme="majorHAnsi"/>
          <w:b/>
        </w:rPr>
        <w:br w:type="page"/>
      </w:r>
    </w:p>
    <w:p w14:paraId="5140CB94" w14:textId="7334F1C0" w:rsidR="00B17946" w:rsidRPr="005A368A" w:rsidRDefault="002C2ABF" w:rsidP="00D656A9">
      <w:pPr>
        <w:jc w:val="both"/>
        <w:rPr>
          <w:rFonts w:asciiTheme="majorHAnsi" w:hAnsiTheme="majorHAnsi"/>
        </w:rPr>
      </w:pPr>
      <w:r w:rsidRPr="005A368A">
        <w:rPr>
          <w:rFonts w:asciiTheme="majorHAnsi" w:hAnsiTheme="majorHAnsi"/>
          <w:b/>
        </w:rPr>
        <w:lastRenderedPageBreak/>
        <w:t>Notes to editors</w:t>
      </w:r>
    </w:p>
    <w:p w14:paraId="3DCEC362" w14:textId="77777777" w:rsidR="00AD574B" w:rsidRPr="005A368A" w:rsidRDefault="00AD574B" w:rsidP="00B17946">
      <w:pPr>
        <w:jc w:val="both"/>
        <w:rPr>
          <w:rFonts w:asciiTheme="majorHAnsi" w:hAnsiTheme="majorHAnsi"/>
          <w:b/>
        </w:rPr>
      </w:pPr>
    </w:p>
    <w:p w14:paraId="402A5F8B" w14:textId="77777777" w:rsidR="00AD574B" w:rsidRPr="005A368A" w:rsidRDefault="00A11E0E" w:rsidP="00B17946">
      <w:pPr>
        <w:jc w:val="both"/>
        <w:rPr>
          <w:rFonts w:asciiTheme="majorHAnsi" w:hAnsiTheme="majorHAnsi"/>
          <w:i/>
          <w:u w:val="single"/>
        </w:rPr>
      </w:pPr>
      <w:hyperlink r:id="rId9" w:history="1">
        <w:r w:rsidR="00CC4A4E" w:rsidRPr="005A368A">
          <w:rPr>
            <w:rStyle w:val="Hyperlink"/>
            <w:rFonts w:asciiTheme="majorHAnsi" w:hAnsiTheme="majorHAnsi"/>
            <w:i/>
          </w:rPr>
          <w:t>Event material</w:t>
        </w:r>
      </w:hyperlink>
    </w:p>
    <w:p w14:paraId="34A02247" w14:textId="77777777" w:rsidR="00CC4A4E" w:rsidRPr="005A368A" w:rsidRDefault="00CC4A4E" w:rsidP="00B17946">
      <w:pPr>
        <w:jc w:val="both"/>
        <w:rPr>
          <w:rFonts w:asciiTheme="majorHAnsi" w:hAnsiTheme="majorHAnsi"/>
          <w:i/>
          <w:sz w:val="20"/>
          <w:szCs w:val="20"/>
          <w:u w:val="single"/>
        </w:rPr>
      </w:pPr>
    </w:p>
    <w:p w14:paraId="53E8A360" w14:textId="77777777" w:rsidR="00B17946" w:rsidRPr="005A368A" w:rsidRDefault="00AD574B" w:rsidP="00B17946">
      <w:pPr>
        <w:jc w:val="both"/>
        <w:rPr>
          <w:rFonts w:asciiTheme="majorHAnsi" w:hAnsiTheme="majorHAnsi"/>
          <w:sz w:val="20"/>
          <w:szCs w:val="20"/>
        </w:rPr>
      </w:pPr>
      <w:r w:rsidRPr="005A368A">
        <w:rPr>
          <w:rFonts w:asciiTheme="majorHAnsi" w:hAnsiTheme="majorHAnsi"/>
          <w:sz w:val="20"/>
          <w:szCs w:val="20"/>
        </w:rPr>
        <w:t xml:space="preserve">Full agenda - </w:t>
      </w:r>
      <w:hyperlink r:id="rId10" w:history="1">
        <w:r w:rsidRPr="005A368A">
          <w:rPr>
            <w:rStyle w:val="Hyperlink"/>
            <w:rFonts w:asciiTheme="majorHAnsi" w:hAnsiTheme="majorHAnsi"/>
            <w:sz w:val="20"/>
            <w:szCs w:val="20"/>
          </w:rPr>
          <w:t>https://bit.ly/33bhL4o</w:t>
        </w:r>
      </w:hyperlink>
    </w:p>
    <w:p w14:paraId="1ED06987" w14:textId="77777777" w:rsidR="00AD574B" w:rsidRPr="005A368A" w:rsidRDefault="00CC4A4E" w:rsidP="00B17946">
      <w:pPr>
        <w:jc w:val="both"/>
        <w:rPr>
          <w:rStyle w:val="Hyperlink"/>
          <w:rFonts w:asciiTheme="majorHAnsi" w:hAnsiTheme="majorHAnsi"/>
          <w:sz w:val="20"/>
          <w:szCs w:val="20"/>
        </w:rPr>
      </w:pPr>
      <w:r w:rsidRPr="005A368A">
        <w:rPr>
          <w:rFonts w:asciiTheme="majorHAnsi" w:hAnsiTheme="majorHAnsi"/>
          <w:sz w:val="20"/>
          <w:szCs w:val="20"/>
        </w:rPr>
        <w:t xml:space="preserve">Leaflet with Key Messages </w:t>
      </w:r>
      <w:r w:rsidR="00AD574B" w:rsidRPr="005A368A">
        <w:rPr>
          <w:rFonts w:asciiTheme="majorHAnsi" w:hAnsiTheme="majorHAnsi"/>
          <w:sz w:val="20"/>
          <w:szCs w:val="20"/>
        </w:rPr>
        <w:t xml:space="preserve">and Recommendations - </w:t>
      </w:r>
      <w:hyperlink r:id="rId11" w:history="1">
        <w:r w:rsidRPr="005A368A">
          <w:rPr>
            <w:rStyle w:val="Hyperlink"/>
            <w:rFonts w:asciiTheme="majorHAnsi" w:hAnsiTheme="majorHAnsi"/>
            <w:sz w:val="20"/>
            <w:szCs w:val="20"/>
          </w:rPr>
          <w:t>https://bit.ly/339nDLB</w:t>
        </w:r>
      </w:hyperlink>
    </w:p>
    <w:p w14:paraId="3C6D16BE" w14:textId="77777777" w:rsidR="00AD574B" w:rsidRPr="001D2ED2" w:rsidRDefault="00AD574B" w:rsidP="00B17946">
      <w:pPr>
        <w:jc w:val="both"/>
        <w:rPr>
          <w:rFonts w:asciiTheme="majorHAnsi" w:hAnsiTheme="majorHAnsi"/>
        </w:rPr>
      </w:pPr>
    </w:p>
    <w:p w14:paraId="400E416D" w14:textId="77777777" w:rsidR="00B17946" w:rsidRPr="005A368A" w:rsidRDefault="00A11E0E" w:rsidP="00B17946">
      <w:pPr>
        <w:jc w:val="both"/>
        <w:rPr>
          <w:rFonts w:asciiTheme="majorHAnsi" w:hAnsiTheme="majorHAnsi"/>
          <w:i/>
          <w:u w:val="single"/>
        </w:rPr>
      </w:pPr>
      <w:hyperlink r:id="rId12" w:history="1">
        <w:r w:rsidR="007127FC" w:rsidRPr="005A368A">
          <w:rPr>
            <w:rStyle w:val="Hyperlink"/>
            <w:rFonts w:asciiTheme="majorHAnsi" w:hAnsiTheme="majorHAnsi"/>
            <w:i/>
          </w:rPr>
          <w:t>About the project</w:t>
        </w:r>
      </w:hyperlink>
    </w:p>
    <w:p w14:paraId="1BFEFDEB" w14:textId="77777777" w:rsidR="002C2ABF" w:rsidRPr="005A368A" w:rsidRDefault="002C2ABF" w:rsidP="00331F12">
      <w:pPr>
        <w:widowControl w:val="0"/>
        <w:autoSpaceDE w:val="0"/>
        <w:autoSpaceDN w:val="0"/>
        <w:adjustRightInd w:val="0"/>
        <w:spacing w:before="120"/>
        <w:jc w:val="both"/>
        <w:rPr>
          <w:rFonts w:asciiTheme="majorHAnsi" w:hAnsiTheme="majorHAnsi" w:cs="Times New Roman"/>
          <w:sz w:val="20"/>
          <w:szCs w:val="20"/>
        </w:rPr>
      </w:pPr>
      <w:r w:rsidRPr="005A368A">
        <w:rPr>
          <w:rFonts w:asciiTheme="majorHAnsi" w:hAnsiTheme="majorHAnsi" w:cs="Times New Roman"/>
          <w:sz w:val="20"/>
          <w:szCs w:val="20"/>
        </w:rPr>
        <w:t>The TackSHS project aims to comprehensively elucidate the impact that exposure to secondhand smoke (SHS) from cigarettes and second-hand aerosols (SHA) from electronic cigarettes have on the respiratory health of the European population according to socioeconomic characteristics and other determinants.</w:t>
      </w:r>
    </w:p>
    <w:p w14:paraId="1B42CFFC" w14:textId="77777777" w:rsidR="002C2ABF" w:rsidRPr="005A368A" w:rsidRDefault="002C2ABF" w:rsidP="00331F12">
      <w:pPr>
        <w:widowControl w:val="0"/>
        <w:autoSpaceDE w:val="0"/>
        <w:autoSpaceDN w:val="0"/>
        <w:adjustRightInd w:val="0"/>
        <w:spacing w:before="120"/>
        <w:jc w:val="both"/>
        <w:rPr>
          <w:rFonts w:asciiTheme="majorHAnsi" w:hAnsiTheme="majorHAnsi" w:cs="Times New Roman"/>
          <w:sz w:val="20"/>
          <w:szCs w:val="20"/>
        </w:rPr>
      </w:pPr>
      <w:r w:rsidRPr="005A368A">
        <w:rPr>
          <w:rFonts w:asciiTheme="majorHAnsi" w:hAnsiTheme="majorHAnsi" w:cs="Times New Roman"/>
          <w:sz w:val="20"/>
          <w:szCs w:val="20"/>
        </w:rPr>
        <w:t xml:space="preserve">The TackSHS project involves a series of coordinated studies carried out by 11 academic and public health organisations from six European countries. The project investigates: a) the determinants of SHS and SHA exposure assessed at the individual level (surveys on representative general population samples) and in common environments (environmental sampling in specific settings); b) the overall disease burden, mortality and morbidity attributable to such exposure; and c) its economic impact in terms of direct health care costs. The project also examines specific acute respiratory health changes in healthy individuals and patients with respiratory diseases exposed to SHS and SHA. In addition, the project examines the effectiveness of a novel intervention to reduce SHS exposure in households where smoking is permitted. All these studies are inter-related and involve collaborative coordination among the participant organisations. </w:t>
      </w:r>
    </w:p>
    <w:p w14:paraId="26572E37" w14:textId="799F46AE" w:rsidR="002C2ABF" w:rsidRPr="005A368A" w:rsidRDefault="002C2ABF" w:rsidP="00331F12">
      <w:pPr>
        <w:widowControl w:val="0"/>
        <w:autoSpaceDE w:val="0"/>
        <w:autoSpaceDN w:val="0"/>
        <w:adjustRightInd w:val="0"/>
        <w:spacing w:before="120"/>
        <w:jc w:val="both"/>
        <w:rPr>
          <w:rFonts w:asciiTheme="majorHAnsi" w:hAnsiTheme="majorHAnsi" w:cs="Times New Roman"/>
          <w:sz w:val="20"/>
          <w:szCs w:val="20"/>
        </w:rPr>
      </w:pPr>
      <w:r w:rsidRPr="005A368A">
        <w:rPr>
          <w:rFonts w:asciiTheme="majorHAnsi" w:hAnsiTheme="majorHAnsi" w:cs="Times New Roman"/>
          <w:sz w:val="20"/>
          <w:szCs w:val="20"/>
        </w:rPr>
        <w:t>The comprehensive, integrated approach of the TackSHS project enable</w:t>
      </w:r>
      <w:r w:rsidR="005D1A36">
        <w:rPr>
          <w:rFonts w:asciiTheme="majorHAnsi" w:hAnsiTheme="majorHAnsi" w:cs="Times New Roman"/>
          <w:sz w:val="20"/>
          <w:szCs w:val="20"/>
        </w:rPr>
        <w:t xml:space="preserve">d an important </w:t>
      </w:r>
      <w:r w:rsidRPr="005A368A">
        <w:rPr>
          <w:rFonts w:asciiTheme="majorHAnsi" w:hAnsiTheme="majorHAnsi" w:cs="Times New Roman"/>
          <w:sz w:val="20"/>
          <w:szCs w:val="20"/>
        </w:rPr>
        <w:t>step forward from the current status quo in the understanding of the impact of SHS and SHA exposure on health and provide the basis for health policy recommendations to help European countries to further reduce the harm caused by SHS and SHA exposure.</w:t>
      </w:r>
    </w:p>
    <w:p w14:paraId="7994B3BE" w14:textId="77777777" w:rsidR="002C2ABF" w:rsidRPr="005A368A" w:rsidRDefault="002C2ABF" w:rsidP="00B17946">
      <w:pPr>
        <w:jc w:val="both"/>
        <w:rPr>
          <w:rFonts w:asciiTheme="majorHAnsi" w:hAnsiTheme="majorHAnsi"/>
          <w:i/>
          <w:u w:val="single"/>
        </w:rPr>
      </w:pPr>
    </w:p>
    <w:p w14:paraId="58C06FF7" w14:textId="77777777" w:rsidR="00B17946" w:rsidRPr="005A368A" w:rsidRDefault="00A11E0E" w:rsidP="00B17946">
      <w:pPr>
        <w:jc w:val="both"/>
        <w:rPr>
          <w:rFonts w:asciiTheme="majorHAnsi" w:hAnsiTheme="majorHAnsi"/>
          <w:i/>
          <w:u w:val="single"/>
        </w:rPr>
      </w:pPr>
      <w:hyperlink r:id="rId13" w:history="1">
        <w:r w:rsidR="007127FC" w:rsidRPr="005A368A">
          <w:rPr>
            <w:rStyle w:val="Hyperlink"/>
            <w:rFonts w:asciiTheme="majorHAnsi" w:hAnsiTheme="majorHAnsi"/>
            <w:i/>
          </w:rPr>
          <w:t>Project partners</w:t>
        </w:r>
      </w:hyperlink>
    </w:p>
    <w:p w14:paraId="69943EF4" w14:textId="77777777" w:rsidR="007127FC" w:rsidRPr="005A368A" w:rsidRDefault="007127FC" w:rsidP="00B17946">
      <w:pPr>
        <w:jc w:val="both"/>
        <w:rPr>
          <w:rFonts w:asciiTheme="majorHAnsi" w:hAnsiTheme="majorHAnsi"/>
        </w:rPr>
      </w:pPr>
    </w:p>
    <w:p w14:paraId="774009E1" w14:textId="55408BEA" w:rsidR="00B17946" w:rsidRPr="005A368A" w:rsidRDefault="00CB7ACF" w:rsidP="005D1A36">
      <w:pPr>
        <w:jc w:val="center"/>
        <w:rPr>
          <w:rFonts w:asciiTheme="majorHAnsi" w:hAnsiTheme="majorHAnsi"/>
        </w:rPr>
      </w:pPr>
      <w:r>
        <w:rPr>
          <w:noProof/>
          <w:lang w:val="en-GB" w:eastAsia="en-GB"/>
        </w:rPr>
        <w:drawing>
          <wp:inline distT="0" distB="0" distL="0" distR="0" wp14:anchorId="2844808D" wp14:editId="67047451">
            <wp:extent cx="5612130" cy="2772410"/>
            <wp:effectExtent l="0" t="0" r="762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612130" cy="2772410"/>
                    </a:xfrm>
                    <a:prstGeom prst="rect">
                      <a:avLst/>
                    </a:prstGeom>
                  </pic:spPr>
                </pic:pic>
              </a:graphicData>
            </a:graphic>
          </wp:inline>
        </w:drawing>
      </w:r>
    </w:p>
    <w:p w14:paraId="6EC7E483" w14:textId="77777777" w:rsidR="00A7263D" w:rsidRPr="005A368A" w:rsidRDefault="00A7263D" w:rsidP="00B17946">
      <w:pPr>
        <w:jc w:val="both"/>
        <w:rPr>
          <w:rFonts w:asciiTheme="majorHAnsi" w:hAnsiTheme="majorHAnsi"/>
        </w:rPr>
      </w:pPr>
    </w:p>
    <w:p w14:paraId="05966576" w14:textId="77777777" w:rsidR="007127FC" w:rsidRPr="005A368A" w:rsidRDefault="007127FC" w:rsidP="00B17946">
      <w:pPr>
        <w:jc w:val="both"/>
        <w:rPr>
          <w:rFonts w:asciiTheme="majorHAnsi" w:hAnsiTheme="majorHAnsi"/>
        </w:rPr>
      </w:pPr>
    </w:p>
    <w:p w14:paraId="75BF1AAF" w14:textId="77777777" w:rsidR="007127FC" w:rsidRPr="005A368A" w:rsidRDefault="00A11E0E" w:rsidP="00B17946">
      <w:pPr>
        <w:jc w:val="both"/>
        <w:rPr>
          <w:rFonts w:asciiTheme="majorHAnsi" w:hAnsiTheme="majorHAnsi"/>
          <w:i/>
          <w:u w:val="single"/>
        </w:rPr>
      </w:pPr>
      <w:hyperlink r:id="rId15" w:history="1">
        <w:r w:rsidR="007127FC" w:rsidRPr="005A368A">
          <w:rPr>
            <w:rStyle w:val="Hyperlink"/>
            <w:rFonts w:asciiTheme="majorHAnsi" w:hAnsiTheme="majorHAnsi"/>
            <w:i/>
          </w:rPr>
          <w:t>Learn more</w:t>
        </w:r>
      </w:hyperlink>
    </w:p>
    <w:p w14:paraId="3F6F9BF8" w14:textId="77777777" w:rsidR="007127FC" w:rsidRPr="005A368A" w:rsidRDefault="007127FC" w:rsidP="00B17946">
      <w:pPr>
        <w:jc w:val="both"/>
        <w:rPr>
          <w:rFonts w:asciiTheme="majorHAnsi" w:hAnsiTheme="majorHAnsi"/>
        </w:rPr>
      </w:pPr>
    </w:p>
    <w:p w14:paraId="02ADF3B5" w14:textId="2B84EF6B" w:rsidR="00A7263D" w:rsidRPr="00B17946" w:rsidRDefault="00A7263D" w:rsidP="00EE3035">
      <w:pPr>
        <w:tabs>
          <w:tab w:val="left" w:pos="-284"/>
        </w:tabs>
        <w:ind w:hanging="284"/>
        <w:jc w:val="both"/>
      </w:pPr>
      <w:r w:rsidRPr="005A368A">
        <w:rPr>
          <w:rFonts w:asciiTheme="majorHAnsi" w:hAnsiTheme="majorHAnsi"/>
        </w:rPr>
        <w:tab/>
        <w:t xml:space="preserve">web: </w:t>
      </w:r>
      <w:hyperlink r:id="rId16" w:history="1">
        <w:r w:rsidRPr="005A368A">
          <w:rPr>
            <w:rStyle w:val="Hyperlink"/>
            <w:rFonts w:asciiTheme="majorHAnsi" w:hAnsiTheme="majorHAnsi"/>
          </w:rPr>
          <w:t>http://tackshs.eu</w:t>
        </w:r>
      </w:hyperlink>
      <w:r w:rsidR="007127FC" w:rsidRPr="005A368A">
        <w:rPr>
          <w:rFonts w:asciiTheme="majorHAnsi" w:hAnsiTheme="majorHAnsi"/>
        </w:rPr>
        <w:tab/>
      </w:r>
      <w:r w:rsidRPr="005A368A">
        <w:rPr>
          <w:rFonts w:asciiTheme="majorHAnsi" w:hAnsiTheme="majorHAnsi"/>
        </w:rPr>
        <w:t xml:space="preserve">twitter: </w:t>
      </w:r>
      <w:hyperlink r:id="rId17" w:history="1">
        <w:r w:rsidRPr="005A368A">
          <w:rPr>
            <w:rStyle w:val="Hyperlink"/>
            <w:rFonts w:asciiTheme="majorHAnsi" w:hAnsiTheme="majorHAnsi"/>
          </w:rPr>
          <w:t>@TackshsProject</w:t>
        </w:r>
      </w:hyperlink>
      <w:r w:rsidR="007127FC" w:rsidRPr="005A368A">
        <w:rPr>
          <w:rFonts w:asciiTheme="majorHAnsi" w:hAnsiTheme="majorHAnsi"/>
        </w:rPr>
        <w:tab/>
      </w:r>
      <w:r w:rsidRPr="005A368A">
        <w:rPr>
          <w:rFonts w:asciiTheme="majorHAnsi" w:hAnsiTheme="majorHAnsi"/>
        </w:rPr>
        <w:t xml:space="preserve">mail: </w:t>
      </w:r>
      <w:hyperlink r:id="rId18" w:history="1">
        <w:r w:rsidR="00CB7ACF" w:rsidRPr="00F87D68">
          <w:rPr>
            <w:rStyle w:val="Hyperlink"/>
            <w:rFonts w:asciiTheme="majorHAnsi" w:hAnsiTheme="majorHAnsi"/>
          </w:rPr>
          <w:t>info@tackshs.eu</w:t>
        </w:r>
      </w:hyperlink>
    </w:p>
    <w:sectPr w:rsidR="00A7263D" w:rsidRPr="00B17946" w:rsidSect="00A7263D">
      <w:pgSz w:w="11900" w:h="16840"/>
      <w:pgMar w:top="1440" w:right="985"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C36D1"/>
    <w:multiLevelType w:val="hybridMultilevel"/>
    <w:tmpl w:val="EB5E1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946"/>
    <w:rsid w:val="0003060E"/>
    <w:rsid w:val="000466C0"/>
    <w:rsid w:val="00070D96"/>
    <w:rsid w:val="000E6F7F"/>
    <w:rsid w:val="00140FF6"/>
    <w:rsid w:val="001D2ED2"/>
    <w:rsid w:val="001D5832"/>
    <w:rsid w:val="001F3387"/>
    <w:rsid w:val="002417FE"/>
    <w:rsid w:val="00282D6B"/>
    <w:rsid w:val="002C2ABF"/>
    <w:rsid w:val="002C5B99"/>
    <w:rsid w:val="00331F12"/>
    <w:rsid w:val="004556BF"/>
    <w:rsid w:val="004641B1"/>
    <w:rsid w:val="00480297"/>
    <w:rsid w:val="004C225F"/>
    <w:rsid w:val="00501934"/>
    <w:rsid w:val="005037D3"/>
    <w:rsid w:val="00523694"/>
    <w:rsid w:val="0057448E"/>
    <w:rsid w:val="00592072"/>
    <w:rsid w:val="005A368A"/>
    <w:rsid w:val="005B06C2"/>
    <w:rsid w:val="005B6CBE"/>
    <w:rsid w:val="005D1A36"/>
    <w:rsid w:val="005D61B1"/>
    <w:rsid w:val="005F6432"/>
    <w:rsid w:val="006045DF"/>
    <w:rsid w:val="00620DDC"/>
    <w:rsid w:val="007127FC"/>
    <w:rsid w:val="00720113"/>
    <w:rsid w:val="007A4DD1"/>
    <w:rsid w:val="007B3A74"/>
    <w:rsid w:val="00815114"/>
    <w:rsid w:val="00931A39"/>
    <w:rsid w:val="00A11E0E"/>
    <w:rsid w:val="00A7263D"/>
    <w:rsid w:val="00AD574B"/>
    <w:rsid w:val="00B17946"/>
    <w:rsid w:val="00BD0DD0"/>
    <w:rsid w:val="00C153F7"/>
    <w:rsid w:val="00C33E88"/>
    <w:rsid w:val="00C5270B"/>
    <w:rsid w:val="00CB7ACF"/>
    <w:rsid w:val="00CC4A4E"/>
    <w:rsid w:val="00CD4943"/>
    <w:rsid w:val="00D656A9"/>
    <w:rsid w:val="00E11AB3"/>
    <w:rsid w:val="00E32034"/>
    <w:rsid w:val="00E43021"/>
    <w:rsid w:val="00EB3CF5"/>
    <w:rsid w:val="00ED31B2"/>
    <w:rsid w:val="00EE3035"/>
    <w:rsid w:val="00F14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CB02DB"/>
  <w14:defaultImageDpi w14:val="300"/>
  <w15:docId w15:val="{A6806247-8768-4297-8F07-1618F36C5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9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7946"/>
    <w:rPr>
      <w:rFonts w:ascii="Lucida Grande" w:hAnsi="Lucida Grande" w:cs="Lucida Grande"/>
      <w:sz w:val="18"/>
      <w:szCs w:val="18"/>
    </w:rPr>
  </w:style>
  <w:style w:type="table" w:styleId="TableGrid">
    <w:name w:val="Table Grid"/>
    <w:basedOn w:val="TableNormal"/>
    <w:uiPriority w:val="59"/>
    <w:rsid w:val="00B17946"/>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263D"/>
    <w:rPr>
      <w:color w:val="0000FF" w:themeColor="hyperlink"/>
      <w:u w:val="single"/>
    </w:rPr>
  </w:style>
  <w:style w:type="character" w:styleId="FollowedHyperlink">
    <w:name w:val="FollowedHyperlink"/>
    <w:basedOn w:val="DefaultParagraphFont"/>
    <w:uiPriority w:val="99"/>
    <w:semiHidden/>
    <w:unhideWhenUsed/>
    <w:rsid w:val="00A7263D"/>
    <w:rPr>
      <w:color w:val="800080" w:themeColor="followedHyperlink"/>
      <w:u w:val="single"/>
    </w:rPr>
  </w:style>
  <w:style w:type="character" w:styleId="Emphasis">
    <w:name w:val="Emphasis"/>
    <w:basedOn w:val="DefaultParagraphFont"/>
    <w:uiPriority w:val="20"/>
    <w:qFormat/>
    <w:rsid w:val="00E43021"/>
    <w:rPr>
      <w:i/>
      <w:iCs/>
    </w:rPr>
  </w:style>
  <w:style w:type="paragraph" w:styleId="ListParagraph">
    <w:name w:val="List Paragraph"/>
    <w:basedOn w:val="Normal"/>
    <w:uiPriority w:val="34"/>
    <w:qFormat/>
    <w:rsid w:val="004C2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579398">
      <w:bodyDiv w:val="1"/>
      <w:marLeft w:val="0"/>
      <w:marRight w:val="0"/>
      <w:marTop w:val="0"/>
      <w:marBottom w:val="0"/>
      <w:divBdr>
        <w:top w:val="none" w:sz="0" w:space="0" w:color="auto"/>
        <w:left w:val="none" w:sz="0" w:space="0" w:color="auto"/>
        <w:bottom w:val="none" w:sz="0" w:space="0" w:color="auto"/>
        <w:right w:val="none" w:sz="0" w:space="0" w:color="auto"/>
      </w:divBdr>
    </w:div>
    <w:div w:id="18793964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tackshs.eu" TargetMode="External"/><Relationship Id="rId13" Type="http://schemas.openxmlformats.org/officeDocument/2006/relationships/hyperlink" Target="http://tackshs.eu/project-partners/" TargetMode="External"/><Relationship Id="rId18" Type="http://schemas.openxmlformats.org/officeDocument/2006/relationships/hyperlink" Target="mailto:info@tackshs.eu"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tackshs.eu/aims-objectives/" TargetMode="External"/><Relationship Id="rId17" Type="http://schemas.openxmlformats.org/officeDocument/2006/relationships/hyperlink" Target="https://twitter.com/tackshsproject?lang=fr" TargetMode="External"/><Relationship Id="rId2" Type="http://schemas.openxmlformats.org/officeDocument/2006/relationships/numbering" Target="numbering.xml"/><Relationship Id="rId16" Type="http://schemas.openxmlformats.org/officeDocument/2006/relationships/hyperlink" Target="http://tackshs.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bit.ly/339nDLB" TargetMode="External"/><Relationship Id="rId5" Type="http://schemas.openxmlformats.org/officeDocument/2006/relationships/webSettings" Target="webSettings.xml"/><Relationship Id="rId15" Type="http://schemas.openxmlformats.org/officeDocument/2006/relationships/hyperlink" Target="http://tackshs.eu" TargetMode="External"/><Relationship Id="rId10" Type="http://schemas.openxmlformats.org/officeDocument/2006/relationships/hyperlink" Target="https://bit.ly/33bhL4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ackshs.eu/news/tackshs-project-final-conference/"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92BF5-0F02-4E25-996B-DF2928E1B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1738</Words>
  <Characters>9907</Characters>
  <Application>Microsoft Office Word</Application>
  <DocSecurity>0</DocSecurity>
  <Lines>82</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Polina Starchenko</dc:creator>
  <cp:lastModifiedBy>Luke Clancy</cp:lastModifiedBy>
  <cp:revision>3</cp:revision>
  <cp:lastPrinted>2019-10-10T16:12:00Z</cp:lastPrinted>
  <dcterms:created xsi:type="dcterms:W3CDTF">2019-10-11T10:41:00Z</dcterms:created>
  <dcterms:modified xsi:type="dcterms:W3CDTF">2019-10-11T10:42:00Z</dcterms:modified>
</cp:coreProperties>
</file>